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55" w:rsidRDefault="000E7955" w:rsidP="00C904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955" w:rsidRPr="00C23E68" w:rsidRDefault="003A7392" w:rsidP="00C23E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Сводная статистика </w:t>
      </w:r>
      <w:r w:rsidR="000E7955" w:rsidRPr="00C23E68">
        <w:rPr>
          <w:rFonts w:ascii="Times New Roman" w:hAnsi="Times New Roman"/>
          <w:b/>
          <w:sz w:val="28"/>
          <w:szCs w:val="28"/>
        </w:rPr>
        <w:t>о развитии отрасли «Связь»</w:t>
      </w:r>
      <w:r w:rsidR="000E7955">
        <w:rPr>
          <w:rFonts w:ascii="Times New Roman" w:hAnsi="Times New Roman"/>
          <w:b/>
          <w:sz w:val="28"/>
          <w:szCs w:val="28"/>
        </w:rPr>
        <w:t>.</w:t>
      </w:r>
    </w:p>
    <w:p w:rsidR="000E7955" w:rsidRPr="00F7740B" w:rsidRDefault="000E7955" w:rsidP="00E917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году на территории Ленинградской области прослеживалась уверенная позитивная динамика по большинству ключевых показателей эффективности развития отрасли. </w:t>
      </w:r>
      <w:r w:rsidRPr="00541A61">
        <w:rPr>
          <w:rFonts w:ascii="Times New Roman" w:hAnsi="Times New Roman"/>
          <w:sz w:val="28"/>
          <w:szCs w:val="28"/>
        </w:rPr>
        <w:t xml:space="preserve">Общий объём услуг </w:t>
      </w:r>
      <w:r w:rsidRPr="00541A61">
        <w:rPr>
          <w:rFonts w:ascii="Times New Roman" w:hAnsi="Times New Roman"/>
          <w:bCs/>
          <w:sz w:val="28"/>
          <w:szCs w:val="28"/>
        </w:rPr>
        <w:t>связи</w:t>
      </w:r>
      <w:r w:rsidRPr="00541A61">
        <w:rPr>
          <w:rFonts w:ascii="Times New Roman" w:hAnsi="Times New Roman"/>
          <w:sz w:val="28"/>
          <w:szCs w:val="28"/>
        </w:rPr>
        <w:t>, оказанных организациями Ленинградской области (включая субъекты малого предпринимател</w:t>
      </w:r>
      <w:r>
        <w:rPr>
          <w:rFonts w:ascii="Times New Roman" w:hAnsi="Times New Roman"/>
          <w:sz w:val="28"/>
          <w:szCs w:val="28"/>
        </w:rPr>
        <w:t xml:space="preserve">ьства) в 2012 году, составил 4,8 </w:t>
      </w:r>
      <w:r w:rsidRPr="00541A61">
        <w:rPr>
          <w:rFonts w:ascii="Times New Roman" w:hAnsi="Times New Roman"/>
          <w:sz w:val="28"/>
          <w:szCs w:val="28"/>
        </w:rPr>
        <w:t>млрд. рублей.</w:t>
      </w:r>
      <w:r>
        <w:rPr>
          <w:rFonts w:ascii="Times New Roman" w:hAnsi="Times New Roman"/>
          <w:sz w:val="28"/>
          <w:szCs w:val="28"/>
        </w:rPr>
        <w:t xml:space="preserve"> По результатам года необходимо отметить прирост абонентской базы, количества пользователей мобильного интернета, в том числе по технологии </w:t>
      </w:r>
      <w:r w:rsidRPr="00A25F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.  Увеличилось количество предоставляемых услуг и сервисов. </w:t>
      </w:r>
      <w:proofErr w:type="gramStart"/>
      <w:r>
        <w:rPr>
          <w:rFonts w:ascii="Times New Roman" w:hAnsi="Times New Roman"/>
          <w:sz w:val="28"/>
          <w:szCs w:val="28"/>
        </w:rPr>
        <w:t>Введены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эксплуатацию более 290 базовых станций стандарта</w:t>
      </w:r>
      <w:r w:rsidRPr="00DC472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DC4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C472A">
        <w:rPr>
          <w:rFonts w:ascii="Times New Roman" w:hAnsi="Times New Roman"/>
          <w:sz w:val="28"/>
          <w:szCs w:val="28"/>
        </w:rPr>
        <w:t xml:space="preserve"> 207</w:t>
      </w:r>
      <w:r>
        <w:rPr>
          <w:rFonts w:ascii="Times New Roman" w:hAnsi="Times New Roman"/>
          <w:sz w:val="28"/>
          <w:szCs w:val="28"/>
        </w:rPr>
        <w:t xml:space="preserve"> базовых станций стандарта </w:t>
      </w:r>
      <w:r w:rsidRPr="00DC47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. Охват сети сотовых операторов на 2012 год в целом по населённым пунктам Ленинградской области  в формате 2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603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- 86</w:t>
      </w:r>
      <w:r w:rsidRPr="00F7740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F7740B">
        <w:rPr>
          <w:rFonts w:ascii="Times New Roman" w:hAnsi="Times New Roman"/>
          <w:sz w:val="28"/>
          <w:szCs w:val="28"/>
        </w:rPr>
        <w:t xml:space="preserve"> </w:t>
      </w:r>
      <w:r w:rsidRPr="00603C42">
        <w:rPr>
          <w:rFonts w:ascii="Times New Roman" w:hAnsi="Times New Roman"/>
          <w:sz w:val="28"/>
          <w:szCs w:val="28"/>
        </w:rPr>
        <w:t>в формате</w:t>
      </w:r>
      <w:r w:rsidRPr="00F77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3G - 65%. В тоже время охват сотовой связью в населённых пунктах с численностью более 5 тыс. человек составил в формате 2G - 96%</w:t>
      </w:r>
      <w:r w:rsidRPr="00F7740B">
        <w:rPr>
          <w:rFonts w:ascii="Times New Roman" w:hAnsi="Times New Roman"/>
          <w:sz w:val="28"/>
          <w:szCs w:val="28"/>
        </w:rPr>
        <w:t xml:space="preserve"> и  в формате 3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7740B">
        <w:rPr>
          <w:rFonts w:ascii="Times New Roman" w:hAnsi="Times New Roman"/>
          <w:sz w:val="28"/>
          <w:szCs w:val="28"/>
        </w:rPr>
        <w:t>75%.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955" w:rsidRDefault="000E7955" w:rsidP="001C70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Быстрыми темпами продолжила развиваться транспортная сеть передачи данных. З</w:t>
      </w:r>
      <w:r w:rsidRPr="00C90434">
        <w:rPr>
          <w:rFonts w:ascii="Times New Roman" w:hAnsi="Times New Roman"/>
          <w:color w:val="000000"/>
          <w:sz w:val="28"/>
          <w:szCs w:val="28"/>
        </w:rPr>
        <w:t xml:space="preserve">а 2012 год </w:t>
      </w:r>
      <w:r>
        <w:rPr>
          <w:rFonts w:ascii="Times New Roman" w:hAnsi="Times New Roman"/>
          <w:color w:val="000000"/>
          <w:sz w:val="28"/>
          <w:szCs w:val="28"/>
        </w:rPr>
        <w:t xml:space="preserve">операторами сотовой связи </w:t>
      </w:r>
      <w:r w:rsidRPr="00C90434">
        <w:rPr>
          <w:rFonts w:ascii="Times New Roman" w:hAnsi="Times New Roman"/>
          <w:color w:val="000000"/>
          <w:sz w:val="28"/>
          <w:szCs w:val="28"/>
        </w:rPr>
        <w:t xml:space="preserve">построено </w:t>
      </w:r>
      <w:smartTag w:uri="urn:schemas-microsoft-com:office:smarttags" w:element="metricconverter">
        <w:smartTagPr>
          <w:attr w:name="ProductID" w:val="518 км"/>
        </w:smartTagPr>
        <w:r w:rsidRPr="00C2014D">
          <w:rPr>
            <w:rFonts w:ascii="Times New Roman" w:hAnsi="Times New Roman"/>
            <w:sz w:val="28"/>
            <w:szCs w:val="28"/>
          </w:rPr>
          <w:t>518 к</w:t>
        </w:r>
        <w:r w:rsidRPr="00C90434">
          <w:rPr>
            <w:rFonts w:ascii="Times New Roman" w:hAnsi="Times New Roman"/>
            <w:color w:val="000000"/>
            <w:sz w:val="28"/>
            <w:szCs w:val="28"/>
          </w:rPr>
          <w:t>м</w:t>
        </w:r>
      </w:smartTag>
      <w:r w:rsidRPr="00C9043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ВОЛС. Значительно расширилась зона покрытия мобильной связью на территории Ленинградской области. </w:t>
      </w:r>
    </w:p>
    <w:p w:rsidR="000E7955" w:rsidRDefault="000E7955" w:rsidP="001C70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Операторами проводной связи было отремонтировано более тысячи километров кабелей межстанционных связей. На 1 января 2013 года монтированная емкость проводной связи составила 481318 номеров, включая емкость цифровых АТС (327174 номеров). За 2012 год введено более 18 тыс. номеров цифровых АТС. </w:t>
      </w:r>
      <w:r w:rsidRPr="003055C8">
        <w:rPr>
          <w:rFonts w:ascii="Times New Roman" w:hAnsi="Times New Roman"/>
          <w:sz w:val="28"/>
          <w:szCs w:val="28"/>
        </w:rPr>
        <w:t>97 аналоговых</w:t>
      </w:r>
      <w:r w:rsidRPr="00C2014D">
        <w:rPr>
          <w:rFonts w:ascii="Times New Roman" w:hAnsi="Times New Roman"/>
          <w:sz w:val="28"/>
          <w:szCs w:val="28"/>
        </w:rPr>
        <w:t xml:space="preserve"> АТС заменены </w:t>
      </w:r>
      <w:proofErr w:type="gramStart"/>
      <w:r w:rsidRPr="00C2014D">
        <w:rPr>
          <w:rFonts w:ascii="Times New Roman" w:hAnsi="Times New Roman"/>
          <w:sz w:val="28"/>
          <w:szCs w:val="28"/>
        </w:rPr>
        <w:t>на</w:t>
      </w:r>
      <w:proofErr w:type="gramEnd"/>
      <w:r w:rsidRPr="00C2014D">
        <w:rPr>
          <w:rFonts w:ascii="Times New Roman" w:hAnsi="Times New Roman"/>
          <w:sz w:val="28"/>
          <w:szCs w:val="28"/>
        </w:rPr>
        <w:t xml:space="preserve"> цифровые.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Задействованная емкость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xDSL</w:t>
      </w:r>
      <w:proofErr w:type="spellEnd"/>
      <w:r w:rsidRPr="00B86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сети Интернет составила 75 тыс. портов, монтированная ёмкость современного формата передачи данных по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FTTb</w:t>
      </w:r>
      <w:proofErr w:type="spellEnd"/>
      <w:r>
        <w:rPr>
          <w:rFonts w:ascii="Times New Roman" w:hAnsi="Times New Roman"/>
          <w:sz w:val="28"/>
          <w:szCs w:val="28"/>
        </w:rPr>
        <w:t xml:space="preserve">  достигла уровня  в 7686 портов.</w:t>
      </w:r>
    </w:p>
    <w:p w:rsidR="000E7955" w:rsidRDefault="000E7955" w:rsidP="00A52A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году продолжилось строительство </w:t>
      </w:r>
      <w:r w:rsidRPr="00D6221B">
        <w:rPr>
          <w:rFonts w:ascii="Times New Roman" w:hAnsi="Times New Roman"/>
          <w:sz w:val="28"/>
          <w:szCs w:val="28"/>
        </w:rPr>
        <w:t>сети цифрового  телевизионного вещания</w:t>
      </w:r>
      <w:r>
        <w:rPr>
          <w:rFonts w:ascii="Times New Roman" w:hAnsi="Times New Roman"/>
          <w:sz w:val="28"/>
          <w:szCs w:val="28"/>
        </w:rPr>
        <w:t xml:space="preserve">  на территории Ленинградской области в соответствии с федеральной целевой программой. Приняты в эксплуатацию передающие цифровые телевизионные комплексы в городах Луга, Выборг, Кингисепп, Подпорожье, Тихвин, Красный бор. В них ведется тестовое вещание первого мультиплекса. </w:t>
      </w:r>
    </w:p>
    <w:p w:rsidR="000E7955" w:rsidRDefault="000E7955" w:rsidP="00C90434">
      <w:pPr>
        <w:ind w:firstLine="717"/>
        <w:jc w:val="both"/>
        <w:rPr>
          <w:rFonts w:ascii="Times New Roman" w:hAnsi="Times New Roman"/>
          <w:sz w:val="28"/>
          <w:szCs w:val="28"/>
        </w:rPr>
      </w:pPr>
      <w:r w:rsidRPr="00F62D48">
        <w:rPr>
          <w:rFonts w:ascii="Times New Roman" w:hAnsi="Times New Roman"/>
          <w:sz w:val="28"/>
          <w:szCs w:val="28"/>
        </w:rPr>
        <w:t>На 1 января 2013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EC6">
        <w:rPr>
          <w:rFonts w:ascii="Times New Roman" w:hAnsi="Times New Roman"/>
          <w:sz w:val="28"/>
          <w:szCs w:val="28"/>
        </w:rPr>
        <w:t xml:space="preserve">Управление федеральной почтовой связи Санкт-Петербурга и Ленинградской области - Филиал ФГУП </w:t>
      </w:r>
      <w:r w:rsidRPr="00D6221B">
        <w:rPr>
          <w:rFonts w:ascii="Times New Roman" w:hAnsi="Times New Roman"/>
          <w:sz w:val="28"/>
          <w:szCs w:val="28"/>
        </w:rPr>
        <w:t xml:space="preserve">«Почта России» </w:t>
      </w:r>
      <w:r w:rsidRPr="00D6221B">
        <w:rPr>
          <w:rFonts w:ascii="Times New Roman" w:hAnsi="Times New Roman"/>
          <w:sz w:val="28"/>
          <w:szCs w:val="28"/>
        </w:rPr>
        <w:lastRenderedPageBreak/>
        <w:t>располагает крупнейшей в Ленинградской области сетью отделений -  534 объекта почтовой связи и 21 передвижное отделение почтовой связи.</w:t>
      </w:r>
      <w:r w:rsidRPr="00D6221B">
        <w:rPr>
          <w:i/>
        </w:rPr>
        <w:t xml:space="preserve"> </w:t>
      </w:r>
      <w:r w:rsidRPr="00D6221B">
        <w:rPr>
          <w:rFonts w:ascii="Times New Roman" w:hAnsi="Times New Roman"/>
          <w:sz w:val="28"/>
          <w:szCs w:val="28"/>
        </w:rPr>
        <w:t>ФГУП «Почта России» на терри</w:t>
      </w:r>
      <w:r w:rsidRPr="00755EC6">
        <w:rPr>
          <w:rFonts w:ascii="Times New Roman" w:hAnsi="Times New Roman"/>
          <w:sz w:val="28"/>
          <w:szCs w:val="28"/>
        </w:rPr>
        <w:t xml:space="preserve">тории Ленинградской области продолжает последовательную </w:t>
      </w:r>
      <w:proofErr w:type="gramStart"/>
      <w:r w:rsidRPr="00755EC6">
        <w:rPr>
          <w:rFonts w:ascii="Times New Roman" w:hAnsi="Times New Roman"/>
          <w:sz w:val="28"/>
          <w:szCs w:val="28"/>
        </w:rPr>
        <w:t>модернизацию</w:t>
      </w:r>
      <w:proofErr w:type="gramEnd"/>
      <w:r w:rsidRPr="00755EC6">
        <w:rPr>
          <w:rFonts w:ascii="Times New Roman" w:hAnsi="Times New Roman"/>
          <w:sz w:val="28"/>
          <w:szCs w:val="28"/>
        </w:rPr>
        <w:t xml:space="preserve"> как самих почтовых отделений, так и технологической инфраструктуры. </w:t>
      </w:r>
      <w:r w:rsidRPr="00A40B6D">
        <w:rPr>
          <w:rFonts w:ascii="Times New Roman" w:hAnsi="Times New Roman"/>
          <w:sz w:val="28"/>
          <w:szCs w:val="28"/>
        </w:rPr>
        <w:t>Рост убытка по сравнению с предыдущим годом обусловлен опережающими темпами роста расходов (110%) над доходами (102%).</w:t>
      </w:r>
      <w:r w:rsidRPr="00A40B6D">
        <w:rPr>
          <w:lang w:eastAsia="en-US"/>
        </w:rPr>
        <w:t xml:space="preserve"> </w:t>
      </w:r>
      <w:r w:rsidRPr="00A40B6D">
        <w:rPr>
          <w:rFonts w:ascii="Times New Roman" w:hAnsi="Times New Roman"/>
          <w:sz w:val="28"/>
          <w:szCs w:val="28"/>
        </w:rPr>
        <w:t xml:space="preserve">В 2012 году УФПС направил существенные средства (50 млн. руб.) на </w:t>
      </w:r>
      <w:r>
        <w:rPr>
          <w:rFonts w:ascii="Times New Roman" w:hAnsi="Times New Roman"/>
          <w:sz w:val="28"/>
          <w:szCs w:val="28"/>
        </w:rPr>
        <w:t>модернизацию и ремонт</w:t>
      </w:r>
      <w:r w:rsidRPr="00A40B6D">
        <w:rPr>
          <w:rFonts w:ascii="Times New Roman" w:hAnsi="Times New Roman"/>
          <w:sz w:val="28"/>
          <w:szCs w:val="28"/>
        </w:rPr>
        <w:t xml:space="preserve"> помещений ОПС. Рост расходов на ремонт помещений ОПС к </w:t>
      </w:r>
      <w:r>
        <w:rPr>
          <w:rFonts w:ascii="Times New Roman" w:hAnsi="Times New Roman"/>
          <w:sz w:val="28"/>
          <w:szCs w:val="28"/>
        </w:rPr>
        <w:t>прошлому году составил 142%. За счёт</w:t>
      </w:r>
      <w:r w:rsidRPr="00A40B6D">
        <w:rPr>
          <w:rFonts w:ascii="Times New Roman" w:hAnsi="Times New Roman"/>
          <w:sz w:val="28"/>
          <w:szCs w:val="28"/>
        </w:rPr>
        <w:t xml:space="preserve"> приобретен</w:t>
      </w:r>
      <w:r>
        <w:rPr>
          <w:rFonts w:ascii="Times New Roman" w:hAnsi="Times New Roman"/>
          <w:sz w:val="28"/>
          <w:szCs w:val="28"/>
        </w:rPr>
        <w:t>ия новой вычислительной техники и иного</w:t>
      </w:r>
      <w:r w:rsidRPr="00A40B6D">
        <w:rPr>
          <w:rFonts w:ascii="Times New Roman" w:hAnsi="Times New Roman"/>
          <w:sz w:val="28"/>
          <w:szCs w:val="28"/>
        </w:rPr>
        <w:t xml:space="preserve"> оборудования </w:t>
      </w:r>
      <w:r>
        <w:rPr>
          <w:rFonts w:ascii="Times New Roman" w:hAnsi="Times New Roman"/>
          <w:sz w:val="28"/>
          <w:szCs w:val="28"/>
        </w:rPr>
        <w:t xml:space="preserve">для отделений </w:t>
      </w:r>
      <w:r w:rsidRPr="00A40B6D">
        <w:rPr>
          <w:rFonts w:ascii="Times New Roman" w:hAnsi="Times New Roman"/>
          <w:sz w:val="28"/>
          <w:szCs w:val="28"/>
        </w:rPr>
        <w:t>почтовой связи, расходы по подразделениям Ленинградской области  относительно прошлого года возросли на 32 млн</w:t>
      </w:r>
      <w:proofErr w:type="gramStart"/>
      <w:r w:rsidRPr="00A40B6D">
        <w:rPr>
          <w:rFonts w:ascii="Times New Roman" w:hAnsi="Times New Roman"/>
          <w:sz w:val="28"/>
          <w:szCs w:val="28"/>
        </w:rPr>
        <w:t>.р</w:t>
      </w:r>
      <w:proofErr w:type="gramEnd"/>
      <w:r w:rsidRPr="00A40B6D">
        <w:rPr>
          <w:rFonts w:ascii="Times New Roman" w:hAnsi="Times New Roman"/>
          <w:sz w:val="28"/>
          <w:szCs w:val="28"/>
        </w:rPr>
        <w:t>уб. (+190%).</w:t>
      </w:r>
      <w:r>
        <w:rPr>
          <w:rFonts w:ascii="Times New Roman" w:hAnsi="Times New Roman"/>
          <w:sz w:val="28"/>
          <w:szCs w:val="28"/>
        </w:rPr>
        <w:t xml:space="preserve"> Данные расходу обуславливают неуклонное развитие почтового сообщение и его переход на качественно новый уровень предоставления услуг.</w:t>
      </w:r>
    </w:p>
    <w:p w:rsidR="000E7955" w:rsidRDefault="000E7955" w:rsidP="00C90434">
      <w:pPr>
        <w:ind w:firstLine="717"/>
        <w:jc w:val="both"/>
        <w:rPr>
          <w:rFonts w:ascii="Times New Roman" w:hAnsi="Times New Roman"/>
          <w:sz w:val="28"/>
          <w:szCs w:val="28"/>
        </w:rPr>
      </w:pPr>
      <w:r w:rsidRPr="00A40B6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целях модернизации современной почтовой системы в</w:t>
      </w:r>
      <w:r w:rsidRPr="00A40B6D">
        <w:rPr>
          <w:rFonts w:ascii="Times New Roman" w:hAnsi="Times New Roman"/>
          <w:sz w:val="28"/>
          <w:szCs w:val="28"/>
        </w:rPr>
        <w:t xml:space="preserve"> 2012г. проводилась работа по оптимизации режимов работы нерентабельных ОПС 5 класса, расположенных в малочисленных населенных пунктах сельской местности. </w:t>
      </w:r>
      <w:proofErr w:type="gramStart"/>
      <w:r w:rsidRPr="00A40B6D">
        <w:rPr>
          <w:rFonts w:ascii="Times New Roman" w:hAnsi="Times New Roman"/>
          <w:sz w:val="28"/>
          <w:szCs w:val="28"/>
        </w:rPr>
        <w:t xml:space="preserve">В результате проведенного согласования с главами муниципальных образований в 2012г. 19 ОПС  5 класса изменен режим работы,  с 5-ти дневной на 3-х дневную рабочую неделю: 4 ОПС – в Бокситогорском районе, 5 ОПС – в  Волховском районе, 4 ОПС – в Лодейнопольском районе, 3 ОПС – в Подпорожском районе и 3 ОПС – в Тихвинском районе. </w:t>
      </w:r>
      <w:proofErr w:type="gramEnd"/>
    </w:p>
    <w:p w:rsidR="000E7955" w:rsidRPr="00C77271" w:rsidRDefault="000E7955" w:rsidP="00D622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году продолжилась реализация </w:t>
      </w:r>
      <w:r w:rsidRPr="00D6221B">
        <w:rPr>
          <w:rFonts w:ascii="Times New Roman" w:hAnsi="Times New Roman"/>
          <w:sz w:val="28"/>
          <w:szCs w:val="28"/>
        </w:rPr>
        <w:t>ДЦП «Развитие информационного общества в Ленинградской области» на 2011-2013 годы.</w:t>
      </w:r>
      <w:r w:rsidRPr="00D6221B">
        <w:rPr>
          <w:sz w:val="32"/>
          <w:szCs w:val="32"/>
        </w:rPr>
        <w:t xml:space="preserve"> </w:t>
      </w:r>
      <w:r w:rsidRPr="00D6221B">
        <w:rPr>
          <w:rFonts w:ascii="Times New Roman" w:hAnsi="Times New Roman"/>
          <w:sz w:val="28"/>
          <w:szCs w:val="28"/>
        </w:rPr>
        <w:t>Основной целью ДЦП является пол</w:t>
      </w:r>
      <w:r w:rsidRPr="00A52AB1">
        <w:rPr>
          <w:rFonts w:ascii="Times New Roman" w:hAnsi="Times New Roman"/>
          <w:sz w:val="28"/>
          <w:szCs w:val="28"/>
        </w:rPr>
        <w:t>учение гражданами и организациями преимуществ от применения информационных  и телекоммуникационных технологий за счет обеспечения равного доступа к информационным ресурса</w:t>
      </w:r>
      <w:r>
        <w:rPr>
          <w:rFonts w:ascii="Times New Roman" w:hAnsi="Times New Roman"/>
          <w:sz w:val="28"/>
          <w:szCs w:val="28"/>
        </w:rPr>
        <w:t>м.</w:t>
      </w:r>
      <w:r w:rsidRPr="00C20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2012 году было осуществлено подключение 90 библиотек к сети Интернет, а также в 8 муниципальных библиотеках с</w:t>
      </w:r>
      <w:r w:rsidRPr="00C77271">
        <w:rPr>
          <w:rFonts w:ascii="Times New Roman" w:hAnsi="Times New Roman"/>
          <w:sz w:val="28"/>
          <w:szCs w:val="28"/>
        </w:rPr>
        <w:t>оздан</w:t>
      </w:r>
      <w:r>
        <w:rPr>
          <w:rFonts w:ascii="Times New Roman" w:hAnsi="Times New Roman"/>
          <w:sz w:val="28"/>
          <w:szCs w:val="28"/>
        </w:rPr>
        <w:t>ы компьютерные аудиторий и сайты</w:t>
      </w:r>
      <w:r w:rsidRPr="00C77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доступа к библиотечным ресурсам. Ещё одним достижением стала проведённая </w:t>
      </w:r>
      <w:r w:rsidRPr="00C77271">
        <w:rPr>
          <w:rFonts w:ascii="Times New Roman" w:hAnsi="Times New Roman"/>
          <w:sz w:val="28"/>
          <w:szCs w:val="28"/>
        </w:rPr>
        <w:t>работа по переводу в электронный вид архивных документов в ГУ «Ленинградский областной государственны</w:t>
      </w:r>
      <w:r>
        <w:rPr>
          <w:rFonts w:ascii="Times New Roman" w:hAnsi="Times New Roman"/>
          <w:sz w:val="28"/>
          <w:szCs w:val="28"/>
        </w:rPr>
        <w:t>й архив в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ыборге» и включение</w:t>
      </w:r>
      <w:r w:rsidRPr="00C77271">
        <w:rPr>
          <w:rFonts w:ascii="Times New Roman" w:hAnsi="Times New Roman"/>
          <w:sz w:val="28"/>
          <w:szCs w:val="28"/>
        </w:rPr>
        <w:t xml:space="preserve"> электронных образов в базу данных</w:t>
      </w:r>
      <w:r>
        <w:rPr>
          <w:rFonts w:ascii="Times New Roman" w:hAnsi="Times New Roman"/>
          <w:sz w:val="28"/>
          <w:szCs w:val="28"/>
        </w:rPr>
        <w:t>. З</w:t>
      </w:r>
      <w:r w:rsidRPr="00C77271">
        <w:rPr>
          <w:rFonts w:ascii="Times New Roman" w:hAnsi="Times New Roman"/>
          <w:sz w:val="28"/>
          <w:szCs w:val="28"/>
        </w:rPr>
        <w:t>акуплено и установлено 15 комплектов периферийного оборудования и 1 комплект центрального оборудования для проведения интернет - конференций в едином библиотечном про</w:t>
      </w:r>
      <w:r>
        <w:rPr>
          <w:rFonts w:ascii="Times New Roman" w:hAnsi="Times New Roman"/>
          <w:sz w:val="28"/>
          <w:szCs w:val="28"/>
        </w:rPr>
        <w:t xml:space="preserve">странстве Ленинградской области. </w:t>
      </w:r>
      <w:r>
        <w:rPr>
          <w:rFonts w:ascii="Times New Roman" w:hAnsi="Times New Roman"/>
          <w:sz w:val="28"/>
          <w:szCs w:val="28"/>
        </w:rPr>
        <w:lastRenderedPageBreak/>
        <w:t>Продолжает осуществляться</w:t>
      </w:r>
      <w:r w:rsidRPr="00C77271">
        <w:rPr>
          <w:rFonts w:ascii="Times New Roman" w:hAnsi="Times New Roman"/>
          <w:sz w:val="28"/>
          <w:szCs w:val="28"/>
        </w:rPr>
        <w:t xml:space="preserve"> сопровождение и развитие региональной информационной системы «Государственный заказ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0E7955" w:rsidRPr="0097629E" w:rsidRDefault="000E7955" w:rsidP="00892871">
      <w:pPr>
        <w:ind w:firstLine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препятствием на пути развития отрасли «связь» на территории Ленинградской области остаётся недостаточная разветвлённость оптоволоконных сетей, особенно в удалённых населённых пунктах. Однако, невзирая на коммерческую непривлекательность подобных проектов, развитие сетей продолжится в 2013 году.  Работа по повышению качества и объёмов предоставляемых услуг доступа в сеть Интернет</w:t>
      </w:r>
      <w:r w:rsidRPr="00C90434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населения будет вестись и по линии </w:t>
      </w:r>
      <w:proofErr w:type="gramStart"/>
      <w:r>
        <w:rPr>
          <w:rFonts w:ascii="Times New Roman" w:hAnsi="Times New Roman"/>
          <w:sz w:val="28"/>
          <w:szCs w:val="28"/>
        </w:rPr>
        <w:t>увеличения количества базовых станций сотовой связи стандарта</w:t>
      </w:r>
      <w:proofErr w:type="gramEnd"/>
      <w:r>
        <w:rPr>
          <w:rFonts w:ascii="Times New Roman" w:hAnsi="Times New Roman"/>
          <w:sz w:val="28"/>
          <w:szCs w:val="28"/>
        </w:rPr>
        <w:t xml:space="preserve"> 3G. Перед операторами сотовой связи поставлена задача 100% охвата территории Ленинградской области сотовой связью.</w:t>
      </w:r>
    </w:p>
    <w:p w:rsidR="007D5F7F" w:rsidRDefault="007D5F7F" w:rsidP="008368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F7F" w:rsidRDefault="007D5F7F" w:rsidP="008368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F7F" w:rsidRDefault="007D5F7F" w:rsidP="008368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955" w:rsidRPr="00082354" w:rsidRDefault="000E7955" w:rsidP="00C9714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3684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E7955" w:rsidRPr="00C01734" w:rsidRDefault="000E7955" w:rsidP="002968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7955" w:rsidRPr="00C01734" w:rsidSect="00E0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B1"/>
    <w:rsid w:val="00020E5B"/>
    <w:rsid w:val="00082354"/>
    <w:rsid w:val="000B5409"/>
    <w:rsid w:val="000E7955"/>
    <w:rsid w:val="00103C33"/>
    <w:rsid w:val="00153A78"/>
    <w:rsid w:val="00163512"/>
    <w:rsid w:val="001827AA"/>
    <w:rsid w:val="001C702B"/>
    <w:rsid w:val="001E4D14"/>
    <w:rsid w:val="00217822"/>
    <w:rsid w:val="002968B7"/>
    <w:rsid w:val="003055C8"/>
    <w:rsid w:val="003A7392"/>
    <w:rsid w:val="003B3CEE"/>
    <w:rsid w:val="003C7972"/>
    <w:rsid w:val="004113CB"/>
    <w:rsid w:val="00496A50"/>
    <w:rsid w:val="004B16F1"/>
    <w:rsid w:val="004F1CAF"/>
    <w:rsid w:val="005303EA"/>
    <w:rsid w:val="00541A61"/>
    <w:rsid w:val="005647CF"/>
    <w:rsid w:val="0056586D"/>
    <w:rsid w:val="005D32BA"/>
    <w:rsid w:val="00603C42"/>
    <w:rsid w:val="0061261B"/>
    <w:rsid w:val="006352E4"/>
    <w:rsid w:val="006D5033"/>
    <w:rsid w:val="00755EC6"/>
    <w:rsid w:val="007674C1"/>
    <w:rsid w:val="007D5F7F"/>
    <w:rsid w:val="008009DF"/>
    <w:rsid w:val="008016C5"/>
    <w:rsid w:val="0083684A"/>
    <w:rsid w:val="008853F3"/>
    <w:rsid w:val="00891AF3"/>
    <w:rsid w:val="008920E1"/>
    <w:rsid w:val="00892871"/>
    <w:rsid w:val="00961719"/>
    <w:rsid w:val="0097629E"/>
    <w:rsid w:val="009F1255"/>
    <w:rsid w:val="00A25FFF"/>
    <w:rsid w:val="00A40B6D"/>
    <w:rsid w:val="00A52AB1"/>
    <w:rsid w:val="00B863B2"/>
    <w:rsid w:val="00BB0914"/>
    <w:rsid w:val="00C01734"/>
    <w:rsid w:val="00C15CC5"/>
    <w:rsid w:val="00C2014D"/>
    <w:rsid w:val="00C20B64"/>
    <w:rsid w:val="00C23E68"/>
    <w:rsid w:val="00C77271"/>
    <w:rsid w:val="00C90434"/>
    <w:rsid w:val="00C97140"/>
    <w:rsid w:val="00CB3A70"/>
    <w:rsid w:val="00CD1FFD"/>
    <w:rsid w:val="00D055C4"/>
    <w:rsid w:val="00D26D17"/>
    <w:rsid w:val="00D6221B"/>
    <w:rsid w:val="00D70BB3"/>
    <w:rsid w:val="00D86773"/>
    <w:rsid w:val="00D922D9"/>
    <w:rsid w:val="00DC472A"/>
    <w:rsid w:val="00E05582"/>
    <w:rsid w:val="00E15558"/>
    <w:rsid w:val="00E917E8"/>
    <w:rsid w:val="00ED236C"/>
    <w:rsid w:val="00EF46CB"/>
    <w:rsid w:val="00F62D48"/>
    <w:rsid w:val="00F7740B"/>
    <w:rsid w:val="00FC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755EC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755EC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развитии отрасли «Связь»</vt:lpstr>
    </vt:vector>
  </TitlesOfParts>
  <Company>Microsoft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развитии отрасли «Связь»</dc:title>
  <dc:subject/>
  <dc:creator>владелец</dc:creator>
  <cp:keywords/>
  <dc:description/>
  <cp:lastModifiedBy>владелец</cp:lastModifiedBy>
  <cp:revision>3</cp:revision>
  <cp:lastPrinted>2013-02-18T07:18:00Z</cp:lastPrinted>
  <dcterms:created xsi:type="dcterms:W3CDTF">2013-08-02T12:36:00Z</dcterms:created>
  <dcterms:modified xsi:type="dcterms:W3CDTF">2013-08-02T12:37:00Z</dcterms:modified>
</cp:coreProperties>
</file>