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DE" w:rsidRDefault="00FE1CDE" w:rsidP="00FE1CDE">
      <w:pPr>
        <w:ind w:firstLine="0"/>
        <w:jc w:val="center"/>
        <w:rPr>
          <w:b/>
        </w:rPr>
      </w:pPr>
      <w:r w:rsidRPr="00D14E51">
        <w:rPr>
          <w:b/>
        </w:rPr>
        <w:t xml:space="preserve">ДОКЛАД </w:t>
      </w:r>
    </w:p>
    <w:p w:rsidR="00FE1CDE" w:rsidRDefault="00FE1CDE" w:rsidP="00FE1CDE">
      <w:pPr>
        <w:ind w:firstLine="0"/>
        <w:jc w:val="center"/>
      </w:pPr>
      <w:r w:rsidRPr="00D14E51">
        <w:t>о выполнени</w:t>
      </w:r>
      <w:r>
        <w:t>и</w:t>
      </w:r>
      <w:r w:rsidRPr="00D14E51">
        <w:t xml:space="preserve"> </w:t>
      </w:r>
      <w:proofErr w:type="gramStart"/>
      <w:r w:rsidRPr="00D14E51">
        <w:t>Плана мероприятий органов исполнительной влас</w:t>
      </w:r>
      <w:r>
        <w:t>ти Ленинградской области</w:t>
      </w:r>
      <w:proofErr w:type="gramEnd"/>
      <w:r>
        <w:t xml:space="preserve"> на 2016-2018</w:t>
      </w:r>
      <w:r w:rsidRPr="00D14E51">
        <w:t xml:space="preserve"> год</w:t>
      </w:r>
      <w:r>
        <w:t>ы</w:t>
      </w:r>
      <w:r w:rsidRPr="00D14E51">
        <w:t xml:space="preserve"> </w:t>
      </w:r>
    </w:p>
    <w:p w:rsidR="00FE1CDE" w:rsidRDefault="00FE1CDE" w:rsidP="00FE1CDE">
      <w:pPr>
        <w:ind w:firstLine="0"/>
        <w:jc w:val="center"/>
      </w:pPr>
      <w:r w:rsidRPr="00D14E51">
        <w:t xml:space="preserve">по достижению показателя «Доля граждан, использующих механизм получения государственных и муниципальных услуг в электронной форме», </w:t>
      </w:r>
    </w:p>
    <w:p w:rsidR="00FE1CDE" w:rsidRPr="00D14E51" w:rsidRDefault="00FE1CDE" w:rsidP="00FE1CDE">
      <w:pPr>
        <w:ind w:firstLine="0"/>
        <w:jc w:val="center"/>
      </w:pPr>
      <w:r w:rsidRPr="00D14E51">
        <w:t xml:space="preserve">содержащегося в подпункте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 </w:t>
      </w:r>
      <w:r>
        <w:t xml:space="preserve">(далее – показатель, План) </w:t>
      </w:r>
      <w:r w:rsidRPr="00D14E51">
        <w:t xml:space="preserve">по состоянию на 01 </w:t>
      </w:r>
      <w:r>
        <w:t>июня</w:t>
      </w:r>
      <w:r w:rsidRPr="00D14E51">
        <w:t xml:space="preserve"> 201</w:t>
      </w:r>
      <w:r>
        <w:t>6</w:t>
      </w:r>
      <w:r w:rsidRPr="00D14E51">
        <w:t xml:space="preserve"> года</w:t>
      </w:r>
    </w:p>
    <w:p w:rsidR="00FE1CDE" w:rsidRDefault="00FE1CDE" w:rsidP="00FE1CDE">
      <w:pPr>
        <w:ind w:firstLine="0"/>
        <w:jc w:val="center"/>
        <w:rPr>
          <w:b/>
          <w:szCs w:val="28"/>
        </w:rPr>
      </w:pPr>
    </w:p>
    <w:p w:rsidR="00FE1CDE" w:rsidRDefault="00FE1CDE" w:rsidP="00FE1CDE">
      <w:pPr>
        <w:rPr>
          <w:szCs w:val="28"/>
        </w:rPr>
      </w:pPr>
      <w:r>
        <w:rPr>
          <w:szCs w:val="28"/>
        </w:rPr>
        <w:t xml:space="preserve">По состоянию на 01 июня 2016 года в связи с изданием распоряжения Правительства Ленинградской области от 23 мая 2016 года № 272-р возобновлен регулярный мониторинг выполнения Плана органами исполнительной власти Ленинградской области. </w:t>
      </w:r>
    </w:p>
    <w:p w:rsidR="00FE1CDE" w:rsidRDefault="00FE1CDE" w:rsidP="00FE1CDE">
      <w:pPr>
        <w:rPr>
          <w:szCs w:val="28"/>
        </w:rPr>
      </w:pPr>
      <w:r>
        <w:rPr>
          <w:szCs w:val="28"/>
        </w:rPr>
        <w:t>В соответствии с установленными направлениями деятельности достигнуты следующие результаты.</w:t>
      </w:r>
    </w:p>
    <w:p w:rsidR="00FE1CDE" w:rsidRPr="00C75A8B" w:rsidRDefault="00351ED8" w:rsidP="00351ED8">
      <w:pPr>
        <w:rPr>
          <w:b/>
          <w:szCs w:val="28"/>
        </w:rPr>
      </w:pPr>
      <w:r w:rsidRPr="00C75A8B">
        <w:rPr>
          <w:b/>
          <w:szCs w:val="28"/>
        </w:rPr>
        <w:t>1. Меры по проникновению электронных услуг в практику деятельности органов исполнительной власти и органов местного самоуправления Ленинградской области</w:t>
      </w:r>
    </w:p>
    <w:p w:rsidR="00351ED8" w:rsidRDefault="007D380A" w:rsidP="00351ED8">
      <w:pPr>
        <w:rPr>
          <w:szCs w:val="28"/>
        </w:rPr>
      </w:pPr>
      <w:r>
        <w:rPr>
          <w:szCs w:val="28"/>
        </w:rPr>
        <w:t>В настоящее время 79% административных регламентов предоставления государственных услуг Ленинградской области предусматривают возможность взаимодействия с заявителем в электронной форме</w:t>
      </w:r>
      <w:r w:rsidR="00387C76">
        <w:rPr>
          <w:szCs w:val="28"/>
        </w:rPr>
        <w:t xml:space="preserve"> (пункт 1.1 Плана)</w:t>
      </w:r>
      <w:r>
        <w:rPr>
          <w:szCs w:val="28"/>
        </w:rPr>
        <w:t>.</w:t>
      </w:r>
    </w:p>
    <w:p w:rsidR="007D380A" w:rsidRDefault="007D380A" w:rsidP="00351ED8">
      <w:r>
        <w:rPr>
          <w:szCs w:val="28"/>
        </w:rPr>
        <w:t>Дополнительно отдельными органами исполнительной власти Ленинградской области (далее - ОИВ)</w:t>
      </w:r>
      <w:r w:rsidR="00F839E8">
        <w:rPr>
          <w:szCs w:val="28"/>
        </w:rPr>
        <w:t xml:space="preserve"> проводится поиск резервов по оптимизации административных процедур и конкурентных преимуществ электронного взаимодействия</w:t>
      </w:r>
      <w:r w:rsidR="00387C76">
        <w:rPr>
          <w:szCs w:val="28"/>
        </w:rPr>
        <w:t xml:space="preserve"> (пункт 1.2 Плана)</w:t>
      </w:r>
      <w:r w:rsidR="00F839E8">
        <w:rPr>
          <w:szCs w:val="28"/>
        </w:rPr>
        <w:t xml:space="preserve">. </w:t>
      </w:r>
      <w:r w:rsidR="00C75A8B">
        <w:rPr>
          <w:szCs w:val="28"/>
        </w:rPr>
        <w:t xml:space="preserve">Так, </w:t>
      </w:r>
      <w:r w:rsidR="00F839E8">
        <w:rPr>
          <w:szCs w:val="28"/>
        </w:rPr>
        <w:t xml:space="preserve">Комитетом </w:t>
      </w:r>
      <w:r w:rsidR="00F839E8">
        <w:t>по охране, контролю и регулированию использования объектов животного мира Ленинградской области предпринят ряд мер, в результате которых начался неуклонный рост востребованности электронных услуг</w:t>
      </w:r>
      <w:r w:rsidR="000853E5">
        <w:t xml:space="preserve"> данного ОИВ: апрель 2015 – 0,2%, ноябрь 2015 – 5,4%, май 2016 – 9,6%</w:t>
      </w:r>
      <w:r w:rsidR="00F839E8">
        <w:t>.</w:t>
      </w:r>
      <w:r w:rsidR="00C75A8B">
        <w:t xml:space="preserve"> При этом удовлетворенность качеством оказания </w:t>
      </w:r>
      <w:r w:rsidR="00E063B9">
        <w:t xml:space="preserve">таких </w:t>
      </w:r>
      <w:r w:rsidR="00C75A8B">
        <w:t>услуг по представленным оценкам заявителей составляет 100%.</w:t>
      </w:r>
    </w:p>
    <w:p w:rsidR="00455A20" w:rsidRDefault="0037621F" w:rsidP="00351ED8">
      <w:pPr>
        <w:rPr>
          <w:szCs w:val="28"/>
        </w:rPr>
      </w:pPr>
      <w:r>
        <w:rPr>
          <w:szCs w:val="28"/>
        </w:rPr>
        <w:t>В мае 2016 года посредством портала государственных и муниципальных услуг Ленинградской области в ОИВ поступило суммарно 358 электронных заявлений</w:t>
      </w:r>
      <w:r w:rsidR="00387C76">
        <w:rPr>
          <w:szCs w:val="28"/>
        </w:rPr>
        <w:t xml:space="preserve"> (пункт 1.4 Плана)</w:t>
      </w:r>
      <w:r>
        <w:rPr>
          <w:szCs w:val="28"/>
        </w:rPr>
        <w:t xml:space="preserve">, что составило </w:t>
      </w:r>
      <w:r w:rsidR="00455A20">
        <w:rPr>
          <w:szCs w:val="28"/>
        </w:rPr>
        <w:t xml:space="preserve">1,3% от общего числа заявлений, поступивших в отчетный период по всем каналам (личная явка в ведомство, МФЦ и портал). </w:t>
      </w:r>
    </w:p>
    <w:p w:rsidR="003C558E" w:rsidRDefault="003C558E" w:rsidP="00351ED8">
      <w:pPr>
        <w:rPr>
          <w:szCs w:val="28"/>
        </w:rPr>
      </w:pPr>
      <w:r>
        <w:rPr>
          <w:szCs w:val="28"/>
        </w:rPr>
        <w:t>В настоящее время реализуется государственный заказ на выполнение работ по обеспечению возможности получения в выбранном заявителем филиале ГБУ ЛО МФЦ результата услуги, обращение за которой осуществляется на портале государственных и муниципальных услуг Ленинградской области (пункт 1.3 Плана).</w:t>
      </w:r>
    </w:p>
    <w:p w:rsidR="00600243" w:rsidRDefault="00E063B9" w:rsidP="00351ED8">
      <w:pPr>
        <w:rPr>
          <w:szCs w:val="28"/>
        </w:rPr>
      </w:pPr>
      <w:r>
        <w:rPr>
          <w:szCs w:val="28"/>
        </w:rPr>
        <w:t>Вместе с тем, н</w:t>
      </w:r>
      <w:r w:rsidR="00600243">
        <w:rPr>
          <w:szCs w:val="28"/>
        </w:rPr>
        <w:t>а отчетную дату о</w:t>
      </w:r>
      <w:r w:rsidR="00455A20">
        <w:rPr>
          <w:szCs w:val="28"/>
        </w:rPr>
        <w:t xml:space="preserve">тсутствует практика электронного взаимодействия  с заявителями </w:t>
      </w:r>
      <w:proofErr w:type="gramStart"/>
      <w:r w:rsidR="00455A20">
        <w:rPr>
          <w:szCs w:val="28"/>
        </w:rPr>
        <w:t>в</w:t>
      </w:r>
      <w:proofErr w:type="gramEnd"/>
      <w:r w:rsidR="00455A20">
        <w:rPr>
          <w:szCs w:val="28"/>
        </w:rPr>
        <w:t xml:space="preserve"> следующих ОИВ: </w:t>
      </w:r>
      <w:r w:rsidR="00455A20" w:rsidRPr="00455A20">
        <w:rPr>
          <w:szCs w:val="28"/>
        </w:rPr>
        <w:t>Комитет государственного строительного надзора и государственной экспертизы Ленинградской области</w:t>
      </w:r>
      <w:r w:rsidR="00455A20">
        <w:rPr>
          <w:szCs w:val="28"/>
        </w:rPr>
        <w:t xml:space="preserve">, </w:t>
      </w:r>
      <w:r w:rsidR="00455A20" w:rsidRPr="00455A20">
        <w:rPr>
          <w:szCs w:val="28"/>
        </w:rPr>
        <w:t xml:space="preserve">Комитет по агропромышленному и </w:t>
      </w:r>
      <w:proofErr w:type="spellStart"/>
      <w:r w:rsidR="00455A20" w:rsidRPr="00455A20">
        <w:rPr>
          <w:szCs w:val="28"/>
        </w:rPr>
        <w:t>рыбохозяйственному</w:t>
      </w:r>
      <w:proofErr w:type="spellEnd"/>
      <w:r w:rsidR="00455A20" w:rsidRPr="00455A20">
        <w:rPr>
          <w:szCs w:val="28"/>
        </w:rPr>
        <w:t xml:space="preserve"> комплексу Ленинградской области</w:t>
      </w:r>
      <w:r w:rsidR="00455A20">
        <w:rPr>
          <w:szCs w:val="28"/>
        </w:rPr>
        <w:t xml:space="preserve">, </w:t>
      </w:r>
      <w:r w:rsidR="00455A20" w:rsidRPr="00455A20">
        <w:rPr>
          <w:szCs w:val="28"/>
        </w:rPr>
        <w:t>Управление Ленинградской области по государственному техническому надзору и контролю</w:t>
      </w:r>
      <w:r w:rsidR="00455A20">
        <w:rPr>
          <w:szCs w:val="28"/>
        </w:rPr>
        <w:t xml:space="preserve">, </w:t>
      </w:r>
      <w:r w:rsidR="00455A20" w:rsidRPr="00455A20">
        <w:rPr>
          <w:szCs w:val="28"/>
        </w:rPr>
        <w:t>Управление ветеринарии</w:t>
      </w:r>
      <w:r w:rsidR="00600243">
        <w:rPr>
          <w:szCs w:val="28"/>
        </w:rPr>
        <w:t xml:space="preserve"> Ленинградской области</w:t>
      </w:r>
      <w:r w:rsidR="00455A20">
        <w:rPr>
          <w:szCs w:val="28"/>
        </w:rPr>
        <w:t xml:space="preserve">. </w:t>
      </w:r>
    </w:p>
    <w:p w:rsidR="00C75A8B" w:rsidRDefault="00455A20" w:rsidP="00351ED8">
      <w:pPr>
        <w:rPr>
          <w:szCs w:val="28"/>
        </w:rPr>
      </w:pPr>
      <w:r>
        <w:rPr>
          <w:szCs w:val="28"/>
        </w:rPr>
        <w:t xml:space="preserve">Крайне низкий уровень востребованности электронных услуг за </w:t>
      </w:r>
      <w:proofErr w:type="gramStart"/>
      <w:r>
        <w:rPr>
          <w:szCs w:val="28"/>
        </w:rPr>
        <w:t>последние</w:t>
      </w:r>
      <w:proofErr w:type="gramEnd"/>
      <w:r>
        <w:rPr>
          <w:szCs w:val="28"/>
        </w:rPr>
        <w:t xml:space="preserve"> 17 месяцев</w:t>
      </w:r>
      <w:r w:rsidR="00487EB0">
        <w:rPr>
          <w:szCs w:val="28"/>
        </w:rPr>
        <w:t xml:space="preserve"> отмечен в следующих ОИВ</w:t>
      </w:r>
      <w:r>
        <w:rPr>
          <w:szCs w:val="28"/>
        </w:rPr>
        <w:t xml:space="preserve">: </w:t>
      </w:r>
      <w:r w:rsidR="00487EB0" w:rsidRPr="00487EB0">
        <w:rPr>
          <w:szCs w:val="28"/>
        </w:rPr>
        <w:t>Комитет по здравоохранению Ленинградской области</w:t>
      </w:r>
      <w:r w:rsidR="00487EB0">
        <w:rPr>
          <w:szCs w:val="28"/>
        </w:rPr>
        <w:t xml:space="preserve"> – 5 электронных заявлений</w:t>
      </w:r>
      <w:r w:rsidR="00600243">
        <w:rPr>
          <w:szCs w:val="28"/>
        </w:rPr>
        <w:t>,</w:t>
      </w:r>
      <w:r w:rsidR="00487EB0">
        <w:rPr>
          <w:szCs w:val="28"/>
        </w:rPr>
        <w:t xml:space="preserve"> </w:t>
      </w:r>
      <w:r w:rsidR="00487EB0">
        <w:t>Комитет по физической культуре и спорту Ленинградской области</w:t>
      </w:r>
      <w:r w:rsidR="00600243">
        <w:t xml:space="preserve"> - 4</w:t>
      </w:r>
      <w:r w:rsidR="00600243" w:rsidRPr="00600243">
        <w:rPr>
          <w:szCs w:val="28"/>
        </w:rPr>
        <w:t xml:space="preserve"> </w:t>
      </w:r>
      <w:r w:rsidR="00600243">
        <w:rPr>
          <w:szCs w:val="28"/>
        </w:rPr>
        <w:t xml:space="preserve">электронных заявления, </w:t>
      </w:r>
      <w:r w:rsidR="00600243">
        <w:t>Комитет экономического развития и инвестиционной деятельности Ленинградской области - 2</w:t>
      </w:r>
      <w:r w:rsidR="00600243" w:rsidRPr="00600243">
        <w:rPr>
          <w:szCs w:val="28"/>
        </w:rPr>
        <w:t xml:space="preserve"> </w:t>
      </w:r>
      <w:r w:rsidR="00600243">
        <w:rPr>
          <w:szCs w:val="28"/>
        </w:rPr>
        <w:t xml:space="preserve">электронных заявления, </w:t>
      </w:r>
      <w:r w:rsidR="00600243">
        <w:t>Ленинградский областной комитет по управлению государственным имуществом - 8</w:t>
      </w:r>
      <w:r w:rsidR="00600243" w:rsidRPr="00600243">
        <w:rPr>
          <w:szCs w:val="28"/>
        </w:rPr>
        <w:t xml:space="preserve"> </w:t>
      </w:r>
      <w:r w:rsidR="00600243">
        <w:rPr>
          <w:szCs w:val="28"/>
        </w:rPr>
        <w:t>электронных заявлений.</w:t>
      </w:r>
    </w:p>
    <w:p w:rsidR="00351ED8" w:rsidRPr="00E063B9" w:rsidRDefault="00351ED8" w:rsidP="00351ED8">
      <w:pPr>
        <w:rPr>
          <w:b/>
          <w:szCs w:val="28"/>
        </w:rPr>
      </w:pPr>
      <w:r w:rsidRPr="00E063B9">
        <w:rPr>
          <w:b/>
          <w:szCs w:val="28"/>
        </w:rPr>
        <w:t>2. Меры по регистрации различных категорий жителей Ленинградской области в Единой системе идентификац</w:t>
      </w:r>
      <w:proofErr w:type="gramStart"/>
      <w:r w:rsidRPr="00E063B9">
        <w:rPr>
          <w:b/>
          <w:szCs w:val="28"/>
        </w:rPr>
        <w:t>ии и ау</w:t>
      </w:r>
      <w:proofErr w:type="gramEnd"/>
      <w:r w:rsidRPr="00E063B9">
        <w:rPr>
          <w:b/>
          <w:szCs w:val="28"/>
        </w:rPr>
        <w:t>тентификации (ЕСИА)</w:t>
      </w:r>
    </w:p>
    <w:p w:rsidR="00D85C38" w:rsidRDefault="0053404A" w:rsidP="00351ED8">
      <w:pPr>
        <w:rPr>
          <w:szCs w:val="28"/>
        </w:rPr>
      </w:pPr>
      <w:proofErr w:type="gramStart"/>
      <w:r>
        <w:rPr>
          <w:szCs w:val="28"/>
        </w:rPr>
        <w:t xml:space="preserve">По состоянию на отчетную дату </w:t>
      </w:r>
      <w:r w:rsidR="00D85C38">
        <w:rPr>
          <w:szCs w:val="28"/>
        </w:rPr>
        <w:t>16,6% жителей Ленинградской области старше 14 лет зарегистрирован</w:t>
      </w:r>
      <w:r w:rsidR="003C558E">
        <w:rPr>
          <w:szCs w:val="28"/>
        </w:rPr>
        <w:t>ы</w:t>
      </w:r>
      <w:r w:rsidR="00D85C38">
        <w:rPr>
          <w:szCs w:val="28"/>
        </w:rPr>
        <w:t xml:space="preserve"> в ЕСИА</w:t>
      </w:r>
      <w:r w:rsidR="006D1B7F">
        <w:rPr>
          <w:szCs w:val="28"/>
        </w:rPr>
        <w:t>.</w:t>
      </w:r>
      <w:proofErr w:type="gramEnd"/>
    </w:p>
    <w:p w:rsidR="00351ED8" w:rsidRDefault="006D1B7F" w:rsidP="00351ED8">
      <w:pPr>
        <w:rPr>
          <w:szCs w:val="28"/>
        </w:rPr>
      </w:pPr>
      <w:r>
        <w:rPr>
          <w:szCs w:val="28"/>
        </w:rPr>
        <w:t>Из числа работников государственных учреждений и предприятий</w:t>
      </w:r>
      <w:r w:rsidRPr="006D1B7F">
        <w:rPr>
          <w:szCs w:val="28"/>
        </w:rPr>
        <w:t xml:space="preserve"> </w:t>
      </w:r>
      <w:r>
        <w:rPr>
          <w:szCs w:val="28"/>
        </w:rPr>
        <w:t xml:space="preserve">Ленинградской области значение данного показателя составляет </w:t>
      </w:r>
      <w:r w:rsidR="0053404A">
        <w:rPr>
          <w:szCs w:val="28"/>
        </w:rPr>
        <w:t>75%</w:t>
      </w:r>
      <w:r w:rsidR="00387C76">
        <w:rPr>
          <w:szCs w:val="28"/>
        </w:rPr>
        <w:t xml:space="preserve"> (пункт 2.1 Плана)</w:t>
      </w:r>
      <w:r w:rsidR="0053404A">
        <w:rPr>
          <w:szCs w:val="28"/>
        </w:rPr>
        <w:t xml:space="preserve">. Низкий уровень </w:t>
      </w:r>
      <w:r>
        <w:rPr>
          <w:szCs w:val="28"/>
        </w:rPr>
        <w:t>выполнения</w:t>
      </w:r>
      <w:r w:rsidR="0053404A">
        <w:rPr>
          <w:szCs w:val="28"/>
        </w:rPr>
        <w:t xml:space="preserve"> зафиксирован в учреждениях, подведомственных </w:t>
      </w:r>
      <w:r w:rsidR="000971B0" w:rsidRPr="000971B0">
        <w:rPr>
          <w:szCs w:val="28"/>
        </w:rPr>
        <w:t>Комитет</w:t>
      </w:r>
      <w:r w:rsidR="000971B0">
        <w:rPr>
          <w:szCs w:val="28"/>
        </w:rPr>
        <w:t>у</w:t>
      </w:r>
      <w:r w:rsidR="000971B0" w:rsidRPr="000971B0">
        <w:rPr>
          <w:szCs w:val="28"/>
        </w:rPr>
        <w:t xml:space="preserve"> по дорожному хозяйству Ленинградской области </w:t>
      </w:r>
      <w:r w:rsidR="000971B0">
        <w:rPr>
          <w:szCs w:val="28"/>
        </w:rPr>
        <w:t xml:space="preserve">(7%), </w:t>
      </w:r>
      <w:r w:rsidR="000971B0" w:rsidRPr="000971B0">
        <w:rPr>
          <w:szCs w:val="28"/>
        </w:rPr>
        <w:t>Комитет</w:t>
      </w:r>
      <w:r w:rsidR="000971B0">
        <w:rPr>
          <w:szCs w:val="28"/>
        </w:rPr>
        <w:t>у</w:t>
      </w:r>
      <w:r w:rsidR="000971B0" w:rsidRPr="000971B0">
        <w:rPr>
          <w:szCs w:val="28"/>
        </w:rPr>
        <w:t xml:space="preserve"> по строительству Ленинградской области </w:t>
      </w:r>
      <w:r w:rsidR="000971B0">
        <w:rPr>
          <w:szCs w:val="28"/>
        </w:rPr>
        <w:t xml:space="preserve">(11%), </w:t>
      </w:r>
      <w:r w:rsidR="000971B0" w:rsidRPr="000971B0">
        <w:rPr>
          <w:szCs w:val="28"/>
        </w:rPr>
        <w:t>Комитет</w:t>
      </w:r>
      <w:r w:rsidR="000971B0">
        <w:rPr>
          <w:szCs w:val="28"/>
        </w:rPr>
        <w:t>у</w:t>
      </w:r>
      <w:r w:rsidR="000971B0" w:rsidRPr="000971B0">
        <w:rPr>
          <w:szCs w:val="28"/>
        </w:rPr>
        <w:t xml:space="preserve"> по ЖКХ и транспорту Ленинградской области</w:t>
      </w:r>
      <w:r w:rsidR="000971B0">
        <w:rPr>
          <w:szCs w:val="28"/>
        </w:rPr>
        <w:t xml:space="preserve"> (21%),</w:t>
      </w:r>
      <w:r w:rsidR="000971B0" w:rsidRPr="000971B0">
        <w:rPr>
          <w:szCs w:val="28"/>
        </w:rPr>
        <w:t xml:space="preserve"> </w:t>
      </w:r>
      <w:r w:rsidR="0053404A" w:rsidRPr="0053404A">
        <w:rPr>
          <w:szCs w:val="28"/>
        </w:rPr>
        <w:t>Комитет</w:t>
      </w:r>
      <w:r w:rsidR="0053404A">
        <w:rPr>
          <w:szCs w:val="28"/>
        </w:rPr>
        <w:t>у</w:t>
      </w:r>
      <w:r w:rsidR="0053404A" w:rsidRPr="0053404A">
        <w:rPr>
          <w:szCs w:val="28"/>
        </w:rPr>
        <w:t xml:space="preserve"> по культуре Ленинградской области </w:t>
      </w:r>
      <w:r w:rsidR="0053404A">
        <w:rPr>
          <w:szCs w:val="28"/>
        </w:rPr>
        <w:t>(29%)</w:t>
      </w:r>
      <w:r w:rsidR="000971B0">
        <w:rPr>
          <w:szCs w:val="28"/>
        </w:rPr>
        <w:t>. При этом вовсе не ведется работа в подведомственной сети</w:t>
      </w:r>
      <w:r w:rsidR="0053404A" w:rsidRPr="0053404A">
        <w:rPr>
          <w:szCs w:val="28"/>
        </w:rPr>
        <w:t xml:space="preserve"> </w:t>
      </w:r>
      <w:r w:rsidR="000971B0" w:rsidRPr="000971B0">
        <w:rPr>
          <w:szCs w:val="28"/>
        </w:rPr>
        <w:t>Комитет</w:t>
      </w:r>
      <w:r w:rsidR="000971B0">
        <w:rPr>
          <w:szCs w:val="28"/>
        </w:rPr>
        <w:t>ом</w:t>
      </w:r>
      <w:r w:rsidR="000971B0" w:rsidRPr="000971B0">
        <w:rPr>
          <w:szCs w:val="28"/>
        </w:rPr>
        <w:t xml:space="preserve"> по здравоохранению Ленинградской области </w:t>
      </w:r>
      <w:r w:rsidR="000971B0">
        <w:rPr>
          <w:szCs w:val="28"/>
        </w:rPr>
        <w:t xml:space="preserve">и </w:t>
      </w:r>
      <w:r w:rsidR="000971B0" w:rsidRPr="000971B0">
        <w:rPr>
          <w:szCs w:val="28"/>
        </w:rPr>
        <w:t>Архивн</w:t>
      </w:r>
      <w:r w:rsidR="000971B0">
        <w:rPr>
          <w:szCs w:val="28"/>
        </w:rPr>
        <w:t>ым</w:t>
      </w:r>
      <w:r w:rsidR="000971B0" w:rsidRPr="000971B0">
        <w:rPr>
          <w:szCs w:val="28"/>
        </w:rPr>
        <w:t xml:space="preserve"> управление</w:t>
      </w:r>
      <w:r w:rsidR="000971B0">
        <w:rPr>
          <w:szCs w:val="28"/>
        </w:rPr>
        <w:t>м Ленинградской области.</w:t>
      </w:r>
    </w:p>
    <w:p w:rsidR="00E063B9" w:rsidRDefault="006D1B7F" w:rsidP="00351ED8">
      <w:pPr>
        <w:rPr>
          <w:szCs w:val="28"/>
        </w:rPr>
      </w:pPr>
      <w:r>
        <w:rPr>
          <w:szCs w:val="28"/>
        </w:rPr>
        <w:t>У</w:t>
      </w:r>
      <w:r w:rsidR="00F43865">
        <w:rPr>
          <w:szCs w:val="28"/>
        </w:rPr>
        <w:t>дельн</w:t>
      </w:r>
      <w:r>
        <w:rPr>
          <w:szCs w:val="28"/>
        </w:rPr>
        <w:t>ый</w:t>
      </w:r>
      <w:r w:rsidR="00F43865">
        <w:rPr>
          <w:szCs w:val="28"/>
        </w:rPr>
        <w:t xml:space="preserve"> вес численности зарегистрированных в ЕСИА безработных граждан с</w:t>
      </w:r>
      <w:r>
        <w:rPr>
          <w:szCs w:val="28"/>
        </w:rPr>
        <w:t>оставляет 42%</w:t>
      </w:r>
      <w:r w:rsidR="00387C76">
        <w:rPr>
          <w:szCs w:val="28"/>
        </w:rPr>
        <w:t xml:space="preserve"> (пункт 2.2 Плана)</w:t>
      </w:r>
      <w:r>
        <w:rPr>
          <w:szCs w:val="28"/>
        </w:rPr>
        <w:t>.</w:t>
      </w:r>
    </w:p>
    <w:p w:rsidR="006D1B7F" w:rsidRDefault="006D1B7F" w:rsidP="00351ED8">
      <w:pPr>
        <w:rPr>
          <w:szCs w:val="28"/>
        </w:rPr>
      </w:pPr>
      <w:r>
        <w:rPr>
          <w:szCs w:val="28"/>
        </w:rPr>
        <w:t xml:space="preserve">Для повышения активности по регистрации жителей региона в ЕСИА Комитет по связи и информатизации Ленинградской области совместно с ПАО «Ростелеком» </w:t>
      </w:r>
      <w:r w:rsidRPr="00387C76">
        <w:rPr>
          <w:i/>
          <w:szCs w:val="28"/>
        </w:rPr>
        <w:t>дополнительно</w:t>
      </w:r>
      <w:r>
        <w:rPr>
          <w:szCs w:val="28"/>
        </w:rPr>
        <w:t xml:space="preserve"> к мероприятиям Плана проводит подготовку к проведению повторного областного конкурса «Приведи друга». Планируемое время проведения </w:t>
      </w:r>
      <w:r w:rsidR="00A45D8A">
        <w:rPr>
          <w:szCs w:val="28"/>
        </w:rPr>
        <w:t xml:space="preserve">конкурса </w:t>
      </w:r>
      <w:r>
        <w:rPr>
          <w:szCs w:val="28"/>
        </w:rPr>
        <w:t xml:space="preserve">– август-сентябрь 2016 года.  </w:t>
      </w:r>
    </w:p>
    <w:p w:rsidR="00351ED8" w:rsidRPr="00250E19" w:rsidRDefault="00351ED8" w:rsidP="00351ED8">
      <w:pPr>
        <w:rPr>
          <w:b/>
          <w:szCs w:val="28"/>
        </w:rPr>
      </w:pPr>
      <w:r w:rsidRPr="00250E19">
        <w:rPr>
          <w:b/>
          <w:szCs w:val="28"/>
        </w:rPr>
        <w:t>3. Меры по разъяснению населению и популяризации преимуществ электронных услуг</w:t>
      </w:r>
    </w:p>
    <w:p w:rsidR="00351ED8" w:rsidRDefault="00E878D4" w:rsidP="00351ED8">
      <w:pPr>
        <w:rPr>
          <w:szCs w:val="28"/>
        </w:rPr>
      </w:pPr>
      <w:r>
        <w:rPr>
          <w:szCs w:val="28"/>
        </w:rPr>
        <w:t>С 2015 года на региональном телеканале «ЛОТ-регион» ежедневно</w:t>
      </w:r>
      <w:r w:rsidR="00B05898">
        <w:rPr>
          <w:szCs w:val="28"/>
        </w:rPr>
        <w:t>, более 12 раз в день осуществляется показ мультимедийных роликов, демонстрирующих преимущества получения услуг в электронном виде. Продукция ориентирована на конкретные целевые группы</w:t>
      </w:r>
      <w:r w:rsidR="00237B04">
        <w:rPr>
          <w:szCs w:val="28"/>
        </w:rPr>
        <w:t>:</w:t>
      </w:r>
      <w:r w:rsidR="00B05898">
        <w:rPr>
          <w:szCs w:val="28"/>
        </w:rPr>
        <w:t xml:space="preserve"> молодые родители, пожилые люди, руководители организ</w:t>
      </w:r>
      <w:r w:rsidR="00237B04">
        <w:rPr>
          <w:szCs w:val="28"/>
        </w:rPr>
        <w:t>аций, безработные граждане и пр</w:t>
      </w:r>
      <w:r w:rsidR="00B05898">
        <w:rPr>
          <w:szCs w:val="28"/>
        </w:rPr>
        <w:t>.</w:t>
      </w:r>
      <w:r w:rsidR="00F9208D">
        <w:rPr>
          <w:szCs w:val="28"/>
        </w:rPr>
        <w:t xml:space="preserve"> (пункт 3.6 Плана).</w:t>
      </w:r>
    </w:p>
    <w:p w:rsidR="00B05898" w:rsidRDefault="00237B04" w:rsidP="00351ED8">
      <w:pPr>
        <w:rPr>
          <w:szCs w:val="28"/>
        </w:rPr>
      </w:pPr>
      <w:r>
        <w:rPr>
          <w:szCs w:val="28"/>
        </w:rPr>
        <w:t>Комитет по связи и информатизации Ленинградской области регулярно осуществляет сбор и обобщение заявок ОИВ на тиражирование рекламной полиграфии</w:t>
      </w:r>
      <w:r w:rsidR="00F9208D">
        <w:rPr>
          <w:szCs w:val="28"/>
        </w:rPr>
        <w:t xml:space="preserve"> (пункт 3.9 Плана)</w:t>
      </w:r>
      <w:r>
        <w:rPr>
          <w:szCs w:val="28"/>
        </w:rPr>
        <w:t>. Совместно с Комитетом по печати и связям с общественностью Ленинградской области подготовлен план закупок на 2016 год по изготовлению новой рекламной продукции.</w:t>
      </w:r>
    </w:p>
    <w:p w:rsidR="00250E19" w:rsidRDefault="00237B04" w:rsidP="00351ED8">
      <w:pPr>
        <w:rPr>
          <w:szCs w:val="28"/>
        </w:rPr>
      </w:pPr>
      <w:r>
        <w:rPr>
          <w:szCs w:val="28"/>
        </w:rPr>
        <w:t>В мае 2016 года Комитет по связи и информатизации Ленинградской области заключил государственный контракт, предусматривающий изготовление интерактивного пособия по обучению пользователей портала государственных и муниципальных услуг технологии взаимодействия с «электронным правительством»</w:t>
      </w:r>
      <w:r w:rsidR="00F9208D">
        <w:rPr>
          <w:szCs w:val="28"/>
        </w:rPr>
        <w:t xml:space="preserve"> (пункт 3.11 Плана)</w:t>
      </w:r>
      <w:r>
        <w:rPr>
          <w:szCs w:val="28"/>
        </w:rPr>
        <w:t>.</w:t>
      </w:r>
      <w:r w:rsidR="00A45D8A">
        <w:rPr>
          <w:szCs w:val="28"/>
        </w:rPr>
        <w:t xml:space="preserve"> Дополнительно государственным контрактом предусматривается проведение работ по повышению поисковой доступности портала</w:t>
      </w:r>
      <w:r w:rsidR="00A45D8A" w:rsidRPr="00A45D8A">
        <w:rPr>
          <w:szCs w:val="28"/>
        </w:rPr>
        <w:t xml:space="preserve"> </w:t>
      </w:r>
      <w:r w:rsidR="00A45D8A">
        <w:rPr>
          <w:szCs w:val="28"/>
        </w:rPr>
        <w:t>государственных и муниципальных услуг Ленинградской области</w:t>
      </w:r>
      <w:r w:rsidR="00F9208D">
        <w:rPr>
          <w:szCs w:val="28"/>
        </w:rPr>
        <w:t xml:space="preserve"> (пункт 3.10 Плана)</w:t>
      </w:r>
      <w:r w:rsidR="00A45D8A">
        <w:rPr>
          <w:szCs w:val="28"/>
        </w:rPr>
        <w:t xml:space="preserve">. Срок выполнения работ </w:t>
      </w:r>
      <w:r w:rsidR="003C558E">
        <w:rPr>
          <w:szCs w:val="28"/>
        </w:rPr>
        <w:t xml:space="preserve">по контракту </w:t>
      </w:r>
      <w:r w:rsidR="00A45D8A">
        <w:rPr>
          <w:szCs w:val="28"/>
        </w:rPr>
        <w:t>– декабрь 2016 года.</w:t>
      </w:r>
    </w:p>
    <w:p w:rsidR="00351ED8" w:rsidRPr="007E1B62" w:rsidRDefault="00351ED8" w:rsidP="00351ED8">
      <w:pPr>
        <w:rPr>
          <w:b/>
          <w:szCs w:val="28"/>
        </w:rPr>
      </w:pPr>
      <w:r w:rsidRPr="007E1B62">
        <w:rPr>
          <w:b/>
          <w:szCs w:val="28"/>
        </w:rPr>
        <w:t>4. Меры по техническому обеспечению процесса оказания государственных и муниципальных услуг в электронной форме</w:t>
      </w:r>
    </w:p>
    <w:p w:rsidR="00FE1CDE" w:rsidRDefault="003C558E" w:rsidP="00FE1CDE">
      <w:pPr>
        <w:rPr>
          <w:szCs w:val="28"/>
        </w:rPr>
      </w:pPr>
      <w:r>
        <w:rPr>
          <w:szCs w:val="28"/>
        </w:rPr>
        <w:t xml:space="preserve">В настоящее время на портале государственных и муниципальных услуг обеспечена возможность получения 62% государственных и 42% муниципальных услуг. </w:t>
      </w:r>
      <w:r w:rsidR="00CB22BB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="00CB22BB">
        <w:rPr>
          <w:szCs w:val="28"/>
        </w:rPr>
        <w:t xml:space="preserve">заявками ОИВ Комитетом по связи и информатизации Ленинградской области заключен государственный контракт на перевод в электронный вид </w:t>
      </w:r>
      <w:r>
        <w:rPr>
          <w:szCs w:val="28"/>
        </w:rPr>
        <w:t xml:space="preserve">дополнительно </w:t>
      </w:r>
      <w:r w:rsidR="00CB22BB">
        <w:rPr>
          <w:szCs w:val="28"/>
        </w:rPr>
        <w:t>в 2016 году 45 государственных и муниципальных услуг</w:t>
      </w:r>
      <w:r w:rsidR="00F9208D">
        <w:rPr>
          <w:szCs w:val="28"/>
        </w:rPr>
        <w:t xml:space="preserve"> (пункт 4.1 Плана)</w:t>
      </w:r>
      <w:r w:rsidR="00CB22BB">
        <w:rPr>
          <w:szCs w:val="28"/>
        </w:rPr>
        <w:t>.</w:t>
      </w:r>
    </w:p>
    <w:p w:rsidR="00CB22BB" w:rsidRDefault="00CB22BB" w:rsidP="00FE1CDE">
      <w:pPr>
        <w:rPr>
          <w:szCs w:val="28"/>
        </w:rPr>
      </w:pPr>
      <w:r>
        <w:rPr>
          <w:szCs w:val="28"/>
        </w:rPr>
        <w:t>По заказу ГКУ ЛО «Оператор «электронного правительства» осуществляется техническое сопровождение и обеспечение бесперебойной работы информационных систем Ленинградской области, используемых при предоставлении государственных услуг</w:t>
      </w:r>
      <w:r w:rsidR="00F9208D">
        <w:rPr>
          <w:szCs w:val="28"/>
        </w:rPr>
        <w:t xml:space="preserve"> (пункт 4.2 Плана)</w:t>
      </w:r>
      <w:r>
        <w:rPr>
          <w:szCs w:val="28"/>
        </w:rPr>
        <w:t>.</w:t>
      </w:r>
    </w:p>
    <w:p w:rsidR="00FE1CDE" w:rsidRDefault="00FE1CDE" w:rsidP="00FE1CDE">
      <w:pPr>
        <w:rPr>
          <w:szCs w:val="28"/>
        </w:rPr>
      </w:pPr>
    </w:p>
    <w:p w:rsidR="00F9208D" w:rsidRDefault="0028456A" w:rsidP="00FE1CDE">
      <w:pPr>
        <w:rPr>
          <w:szCs w:val="28"/>
        </w:rPr>
      </w:pPr>
      <w:r>
        <w:rPr>
          <w:szCs w:val="28"/>
        </w:rPr>
        <w:t xml:space="preserve">С целью </w:t>
      </w:r>
      <w:proofErr w:type="gramStart"/>
      <w:r>
        <w:rPr>
          <w:szCs w:val="28"/>
        </w:rPr>
        <w:t>формирования оценки текущих результатов исполнения Плана</w:t>
      </w:r>
      <w:proofErr w:type="gramEnd"/>
      <w:r>
        <w:rPr>
          <w:szCs w:val="28"/>
        </w:rPr>
        <w:t xml:space="preserve"> Комитет по связи и информатизации Ленинградской области разработал следующую методику.</w:t>
      </w:r>
      <w:r w:rsidR="00F9208D">
        <w:rPr>
          <w:szCs w:val="28"/>
        </w:rPr>
        <w:t xml:space="preserve"> </w:t>
      </w:r>
    </w:p>
    <w:p w:rsidR="0028456A" w:rsidRPr="00F9208D" w:rsidRDefault="00F9208D" w:rsidP="00F9208D">
      <w:pPr>
        <w:pStyle w:val="a3"/>
        <w:numPr>
          <w:ilvl w:val="0"/>
          <w:numId w:val="2"/>
        </w:numPr>
        <w:ind w:left="0" w:firstLine="851"/>
        <w:rPr>
          <w:szCs w:val="28"/>
        </w:rPr>
      </w:pPr>
      <w:r w:rsidRPr="00F9208D">
        <w:rPr>
          <w:szCs w:val="28"/>
        </w:rPr>
        <w:t>По мероприятиям Плана, по которым наступил срок его исполнения, устанавливается следующая балльная шкала оценки:</w:t>
      </w:r>
    </w:p>
    <w:p w:rsidR="00F9208D" w:rsidRDefault="00F9208D" w:rsidP="00FE1CDE">
      <w:pPr>
        <w:rPr>
          <w:szCs w:val="28"/>
        </w:rPr>
      </w:pPr>
      <w:r>
        <w:rPr>
          <w:szCs w:val="28"/>
        </w:rPr>
        <w:t xml:space="preserve">2 балла -  работа проводилась, достигнуты </w:t>
      </w:r>
      <w:r w:rsidR="00620939">
        <w:rPr>
          <w:szCs w:val="28"/>
        </w:rPr>
        <w:t xml:space="preserve">запланированные </w:t>
      </w:r>
      <w:r>
        <w:rPr>
          <w:szCs w:val="28"/>
        </w:rPr>
        <w:t>результаты;</w:t>
      </w:r>
    </w:p>
    <w:p w:rsidR="00F9208D" w:rsidRDefault="00F9208D" w:rsidP="00FE1CDE">
      <w:pPr>
        <w:rPr>
          <w:szCs w:val="28"/>
        </w:rPr>
      </w:pPr>
      <w:r>
        <w:rPr>
          <w:szCs w:val="28"/>
        </w:rPr>
        <w:t>1 балл – работа проводилась, но результат не достигнут;</w:t>
      </w:r>
    </w:p>
    <w:p w:rsidR="00F9208D" w:rsidRDefault="00F9208D" w:rsidP="00FE1CDE">
      <w:pPr>
        <w:rPr>
          <w:szCs w:val="28"/>
        </w:rPr>
      </w:pPr>
      <w:r>
        <w:rPr>
          <w:szCs w:val="28"/>
        </w:rPr>
        <w:t>0 баллов – работа не проводилась или информация не представлена.</w:t>
      </w:r>
    </w:p>
    <w:p w:rsidR="00F9208D" w:rsidRDefault="00F9208D" w:rsidP="00F9208D">
      <w:pPr>
        <w:pStyle w:val="a3"/>
        <w:numPr>
          <w:ilvl w:val="0"/>
          <w:numId w:val="2"/>
        </w:numPr>
        <w:ind w:left="0" w:firstLine="851"/>
        <w:rPr>
          <w:szCs w:val="28"/>
        </w:rPr>
      </w:pPr>
      <w:r>
        <w:rPr>
          <w:szCs w:val="28"/>
          <w:lang w:val="en-US"/>
        </w:rPr>
        <w:t>S</w:t>
      </w:r>
      <w:r w:rsidRPr="00F9208D">
        <w:rPr>
          <w:szCs w:val="28"/>
          <w:vertAlign w:val="subscript"/>
          <w:lang w:val="en-US"/>
        </w:rPr>
        <w:t>i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– сумма баллов</w:t>
      </w:r>
      <w:r w:rsidR="00FA7FA4">
        <w:rPr>
          <w:szCs w:val="28"/>
        </w:rPr>
        <w:t>, полученных</w:t>
      </w:r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-ОИВ</w:t>
      </w:r>
      <w:r w:rsidR="00FA7FA4">
        <w:rPr>
          <w:szCs w:val="28"/>
        </w:rPr>
        <w:t xml:space="preserve"> в отчетный период;</w:t>
      </w:r>
    </w:p>
    <w:p w:rsidR="00FA7FA4" w:rsidRDefault="00FA7FA4" w:rsidP="00F9208D">
      <w:pPr>
        <w:pStyle w:val="a3"/>
        <w:numPr>
          <w:ilvl w:val="0"/>
          <w:numId w:val="2"/>
        </w:numPr>
        <w:ind w:left="0" w:firstLine="851"/>
        <w:rPr>
          <w:szCs w:val="28"/>
        </w:rPr>
      </w:pPr>
      <w:r>
        <w:rPr>
          <w:szCs w:val="28"/>
          <w:lang w:val="en-US"/>
        </w:rPr>
        <w:t>S</w:t>
      </w:r>
      <w:r w:rsidRPr="00FA7FA4">
        <w:rPr>
          <w:szCs w:val="28"/>
          <w:vertAlign w:val="subscript"/>
          <w:lang w:val="en-US"/>
        </w:rPr>
        <w:t>i</w:t>
      </w:r>
      <w:r w:rsidRPr="00FA7FA4">
        <w:rPr>
          <w:szCs w:val="28"/>
          <w:vertAlign w:val="subscript"/>
        </w:rPr>
        <w:t>-план</w:t>
      </w:r>
      <w:r>
        <w:rPr>
          <w:szCs w:val="28"/>
        </w:rPr>
        <w:t>=</w:t>
      </w:r>
      <w:r w:rsidRPr="00FA7FA4">
        <w:rPr>
          <w:szCs w:val="28"/>
        </w:rPr>
        <w:t>2*</w:t>
      </w:r>
      <w:r>
        <w:rPr>
          <w:szCs w:val="28"/>
          <w:lang w:val="en-US"/>
        </w:rPr>
        <w:t>m</w:t>
      </w:r>
      <w:r>
        <w:rPr>
          <w:szCs w:val="28"/>
        </w:rPr>
        <w:t xml:space="preserve">, где </w:t>
      </w:r>
      <w:r>
        <w:rPr>
          <w:szCs w:val="28"/>
          <w:lang w:val="en-US"/>
        </w:rPr>
        <w:t>m</w:t>
      </w:r>
      <w:r>
        <w:rPr>
          <w:szCs w:val="28"/>
        </w:rPr>
        <w:t xml:space="preserve"> – количество мероприятий, </w:t>
      </w:r>
      <w:r w:rsidRPr="00F9208D">
        <w:rPr>
          <w:szCs w:val="28"/>
        </w:rPr>
        <w:t xml:space="preserve">по которым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</w:t>
      </w:r>
      <w:r w:rsidRPr="00F9208D">
        <w:rPr>
          <w:szCs w:val="28"/>
        </w:rPr>
        <w:t>ОИВ является ответственным и наступил срок его исполнения</w:t>
      </w:r>
      <w:r>
        <w:rPr>
          <w:szCs w:val="28"/>
        </w:rPr>
        <w:t>;</w:t>
      </w:r>
    </w:p>
    <w:p w:rsidR="00FA7FA4" w:rsidRDefault="00FA7FA4" w:rsidP="00F9208D">
      <w:pPr>
        <w:pStyle w:val="a3"/>
        <w:numPr>
          <w:ilvl w:val="0"/>
          <w:numId w:val="2"/>
        </w:numPr>
        <w:ind w:left="0" w:firstLine="851"/>
        <w:rPr>
          <w:szCs w:val="28"/>
        </w:rPr>
      </w:pPr>
      <w:r>
        <w:rPr>
          <w:szCs w:val="28"/>
          <w:lang w:val="en-US"/>
        </w:rPr>
        <w:t>F</w:t>
      </w:r>
      <w:r w:rsidRPr="00FA7FA4">
        <w:rPr>
          <w:szCs w:val="28"/>
          <w:vertAlign w:val="subscript"/>
          <w:lang w:val="en-US"/>
        </w:rPr>
        <w:t>i</w:t>
      </w:r>
      <w:r>
        <w:rPr>
          <w:szCs w:val="28"/>
        </w:rPr>
        <w:t xml:space="preserve"> –</w:t>
      </w:r>
      <w:r w:rsidR="00620939">
        <w:rPr>
          <w:szCs w:val="28"/>
        </w:rPr>
        <w:t xml:space="preserve"> </w:t>
      </w:r>
      <w:r>
        <w:rPr>
          <w:szCs w:val="28"/>
        </w:rPr>
        <w:t xml:space="preserve">оценка </w:t>
      </w:r>
      <w:r w:rsidR="00620939">
        <w:rPr>
          <w:szCs w:val="28"/>
        </w:rPr>
        <w:t xml:space="preserve">текущих результатов </w:t>
      </w:r>
      <w:proofErr w:type="spellStart"/>
      <w:r>
        <w:rPr>
          <w:szCs w:val="28"/>
          <w:lang w:val="en-US"/>
        </w:rPr>
        <w:t>i</w:t>
      </w:r>
      <w:proofErr w:type="spellEnd"/>
      <w:r w:rsidRPr="00FA7FA4">
        <w:rPr>
          <w:szCs w:val="28"/>
        </w:rPr>
        <w:t>-</w:t>
      </w:r>
      <w:r>
        <w:rPr>
          <w:szCs w:val="28"/>
        </w:rPr>
        <w:t>ОИВ за отчетный период,</w:t>
      </w:r>
    </w:p>
    <w:p w:rsidR="00FA7FA4" w:rsidRDefault="00FA7FA4" w:rsidP="00FA7FA4">
      <w:pPr>
        <w:ind w:left="851" w:firstLine="567"/>
        <w:rPr>
          <w:szCs w:val="28"/>
        </w:rPr>
      </w:pPr>
      <w:r>
        <w:rPr>
          <w:szCs w:val="28"/>
          <w:lang w:val="en-US"/>
        </w:rPr>
        <w:t>F</w:t>
      </w:r>
      <w:r w:rsidRPr="00FA7FA4">
        <w:rPr>
          <w:szCs w:val="28"/>
          <w:vertAlign w:val="subscript"/>
          <w:lang w:val="en-US"/>
        </w:rPr>
        <w:t>i</w:t>
      </w:r>
      <w:r w:rsidR="00620939">
        <w:rPr>
          <w:szCs w:val="28"/>
          <w:vertAlign w:val="subscript"/>
        </w:rPr>
        <w:t xml:space="preserve"> </w:t>
      </w:r>
      <w:r>
        <w:rPr>
          <w:szCs w:val="28"/>
        </w:rPr>
        <w:t>=</w:t>
      </w:r>
      <w:r w:rsidRPr="006118FA">
        <w:rPr>
          <w:szCs w:val="28"/>
        </w:rPr>
        <w:t xml:space="preserve"> </w:t>
      </w:r>
      <w:r w:rsidR="00620939">
        <w:rPr>
          <w:szCs w:val="28"/>
        </w:rPr>
        <w:t>(</w:t>
      </w:r>
      <w:r>
        <w:rPr>
          <w:szCs w:val="28"/>
          <w:lang w:val="en-US"/>
        </w:rPr>
        <w:t>S</w:t>
      </w:r>
      <w:r w:rsidRPr="00F9208D">
        <w:rPr>
          <w:szCs w:val="28"/>
          <w:vertAlign w:val="subscript"/>
          <w:lang w:val="en-US"/>
        </w:rPr>
        <w:t>i</w:t>
      </w:r>
      <w:r>
        <w:rPr>
          <w:szCs w:val="28"/>
        </w:rPr>
        <w:t>/</w:t>
      </w:r>
      <w:r w:rsidRPr="006118FA">
        <w:rPr>
          <w:szCs w:val="28"/>
        </w:rPr>
        <w:t xml:space="preserve"> </w:t>
      </w:r>
      <w:r>
        <w:rPr>
          <w:szCs w:val="28"/>
          <w:lang w:val="en-US"/>
        </w:rPr>
        <w:t>S</w:t>
      </w:r>
      <w:r w:rsidRPr="00FA7FA4">
        <w:rPr>
          <w:szCs w:val="28"/>
          <w:vertAlign w:val="subscript"/>
          <w:lang w:val="en-US"/>
        </w:rPr>
        <w:t>i</w:t>
      </w:r>
      <w:r w:rsidRPr="00FA7FA4">
        <w:rPr>
          <w:szCs w:val="28"/>
          <w:vertAlign w:val="subscript"/>
        </w:rPr>
        <w:t>-план</w:t>
      </w:r>
      <w:r w:rsidR="00620939" w:rsidRPr="00620939">
        <w:rPr>
          <w:szCs w:val="28"/>
        </w:rPr>
        <w:t>)</w:t>
      </w:r>
      <w:r>
        <w:rPr>
          <w:szCs w:val="28"/>
        </w:rPr>
        <w:t>*100%</w:t>
      </w:r>
      <w:r w:rsidR="00620939">
        <w:rPr>
          <w:szCs w:val="28"/>
        </w:rPr>
        <w:t>;</w:t>
      </w:r>
    </w:p>
    <w:p w:rsidR="00620939" w:rsidRDefault="00B0319B" w:rsidP="00620939">
      <w:pPr>
        <w:pStyle w:val="a3"/>
        <w:numPr>
          <w:ilvl w:val="0"/>
          <w:numId w:val="2"/>
        </w:numPr>
        <w:ind w:left="0" w:firstLine="851"/>
        <w:rPr>
          <w:szCs w:val="28"/>
        </w:rPr>
      </w:pPr>
      <w:r>
        <w:rPr>
          <w:szCs w:val="28"/>
        </w:rPr>
        <w:t>Т</w:t>
      </w:r>
      <w:r w:rsidR="00620939">
        <w:rPr>
          <w:szCs w:val="28"/>
        </w:rPr>
        <w:t>екущие результаты ранж</w:t>
      </w:r>
      <w:r>
        <w:rPr>
          <w:szCs w:val="28"/>
        </w:rPr>
        <w:t>ируются по следующим уровням:</w:t>
      </w:r>
    </w:p>
    <w:p w:rsidR="00B0319B" w:rsidRDefault="0044110E" w:rsidP="00B0319B">
      <w:pPr>
        <w:rPr>
          <w:szCs w:val="28"/>
        </w:rPr>
      </w:pPr>
      <w:r>
        <w:rPr>
          <w:szCs w:val="28"/>
        </w:rPr>
        <w:t>не менее</w:t>
      </w:r>
      <w:r w:rsidR="00B0319B">
        <w:rPr>
          <w:szCs w:val="28"/>
        </w:rPr>
        <w:t xml:space="preserve"> 75% - высокий;</w:t>
      </w:r>
    </w:p>
    <w:p w:rsidR="00B0319B" w:rsidRDefault="00B0319B" w:rsidP="00B0319B">
      <w:pPr>
        <w:rPr>
          <w:szCs w:val="28"/>
        </w:rPr>
      </w:pPr>
      <w:r>
        <w:rPr>
          <w:szCs w:val="28"/>
        </w:rPr>
        <w:t>от 50% до 75% - средний;</w:t>
      </w:r>
    </w:p>
    <w:p w:rsidR="00B0319B" w:rsidRDefault="00B0319B" w:rsidP="00B0319B">
      <w:pPr>
        <w:rPr>
          <w:szCs w:val="28"/>
        </w:rPr>
      </w:pPr>
      <w:r>
        <w:rPr>
          <w:szCs w:val="28"/>
        </w:rPr>
        <w:t>от 25% до 50% - низкий;</w:t>
      </w:r>
    </w:p>
    <w:p w:rsidR="00B0319B" w:rsidRDefault="00B0319B" w:rsidP="00B0319B">
      <w:pPr>
        <w:rPr>
          <w:szCs w:val="28"/>
        </w:rPr>
      </w:pPr>
      <w:r>
        <w:rPr>
          <w:szCs w:val="28"/>
        </w:rPr>
        <w:t xml:space="preserve">ниже 25% - </w:t>
      </w:r>
      <w:r w:rsidR="0044110E">
        <w:rPr>
          <w:szCs w:val="28"/>
        </w:rPr>
        <w:t>крайне</w:t>
      </w:r>
      <w:r>
        <w:rPr>
          <w:szCs w:val="28"/>
        </w:rPr>
        <w:t xml:space="preserve"> низкий.</w:t>
      </w:r>
    </w:p>
    <w:p w:rsidR="00FE1CDE" w:rsidRDefault="006118FA" w:rsidP="00FE1CDE">
      <w:pPr>
        <w:rPr>
          <w:szCs w:val="28"/>
        </w:rPr>
      </w:pPr>
      <w:r>
        <w:rPr>
          <w:szCs w:val="28"/>
        </w:rPr>
        <w:t xml:space="preserve">В соответствии с методикой оценки </w:t>
      </w:r>
      <w:r w:rsidR="00B0319B">
        <w:rPr>
          <w:szCs w:val="28"/>
        </w:rPr>
        <w:t xml:space="preserve">текущих результатов </w:t>
      </w:r>
      <w:r>
        <w:rPr>
          <w:szCs w:val="28"/>
        </w:rPr>
        <w:t xml:space="preserve">выполнения Плана по ОИВ по состоянию на 01 июня 2016 года представлены в приложении </w:t>
      </w:r>
      <w:r w:rsidR="00B0319B">
        <w:rPr>
          <w:szCs w:val="28"/>
        </w:rPr>
        <w:t>к докладу</w:t>
      </w:r>
      <w:r>
        <w:rPr>
          <w:szCs w:val="28"/>
        </w:rPr>
        <w:t>.</w:t>
      </w:r>
    </w:p>
    <w:p w:rsidR="00B27DAF" w:rsidRDefault="00B27DAF">
      <w:pPr>
        <w:sectPr w:rsidR="00B27DAF" w:rsidSect="00ED2F6B">
          <w:footerReference w:type="default" r:id="rId9"/>
          <w:pgSz w:w="11900" w:h="16840"/>
          <w:pgMar w:top="1134" w:right="851" w:bottom="1134" w:left="1134" w:header="709" w:footer="709" w:gutter="0"/>
          <w:cols w:space="708"/>
          <w:docGrid w:linePitch="360"/>
        </w:sectPr>
      </w:pPr>
      <w:r>
        <w:br w:type="page"/>
      </w:r>
    </w:p>
    <w:p w:rsidR="00B27DAF" w:rsidRDefault="00B27DAF"/>
    <w:tbl>
      <w:tblPr>
        <w:tblW w:w="15725" w:type="dxa"/>
        <w:tblInd w:w="-601" w:type="dxa"/>
        <w:tblLook w:val="04A0" w:firstRow="1" w:lastRow="0" w:firstColumn="1" w:lastColumn="0" w:noHBand="0" w:noVBand="1"/>
      </w:tblPr>
      <w:tblGrid>
        <w:gridCol w:w="820"/>
        <w:gridCol w:w="3433"/>
        <w:gridCol w:w="590"/>
        <w:gridCol w:w="590"/>
        <w:gridCol w:w="590"/>
        <w:gridCol w:w="500"/>
        <w:gridCol w:w="590"/>
        <w:gridCol w:w="590"/>
        <w:gridCol w:w="590"/>
        <w:gridCol w:w="500"/>
        <w:gridCol w:w="500"/>
        <w:gridCol w:w="500"/>
        <w:gridCol w:w="500"/>
        <w:gridCol w:w="500"/>
        <w:gridCol w:w="500"/>
        <w:gridCol w:w="500"/>
        <w:gridCol w:w="618"/>
        <w:gridCol w:w="590"/>
        <w:gridCol w:w="500"/>
        <w:gridCol w:w="1041"/>
        <w:gridCol w:w="440"/>
        <w:gridCol w:w="743"/>
      </w:tblGrid>
      <w:tr w:rsidR="00B27DAF" w:rsidRPr="00B27DAF" w:rsidTr="00B158C8">
        <w:trPr>
          <w:trHeight w:val="1335"/>
        </w:trPr>
        <w:tc>
          <w:tcPr>
            <w:tcW w:w="157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27DA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Выполнение </w:t>
            </w:r>
            <w:proofErr w:type="gramStart"/>
            <w:r w:rsidRPr="00B27DA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Плана мероприятий органов исполнительной власти Ленинградской области</w:t>
            </w:r>
            <w:proofErr w:type="gramEnd"/>
            <w:r w:rsidRPr="00B27DA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по достижению показателя </w:t>
            </w:r>
            <w:r w:rsidRPr="00B27DA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«Доля граждан, использующих механизм получения государственных и муниципальных услуг в электронной форме» </w:t>
            </w:r>
            <w:r w:rsidRPr="00B27DAF">
              <w:rPr>
                <w:rFonts w:eastAsia="Times New Roman" w:cs="Times New Roman"/>
                <w:color w:val="000000"/>
                <w:szCs w:val="28"/>
                <w:lang w:eastAsia="ru-RU"/>
              </w:rPr>
              <w:t>(по состоянию на 01 июня 2016 года)</w:t>
            </w:r>
          </w:p>
        </w:tc>
      </w:tr>
      <w:tr w:rsidR="00B27DAF" w:rsidRPr="00B27DAF" w:rsidTr="00B158C8">
        <w:trPr>
          <w:trHeight w:val="5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1.1*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1.2*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1.3*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2.1*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2.3*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2.4*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4.1*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Si</w:t>
            </w:r>
            <w:proofErr w:type="spellEnd"/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-план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S</w:t>
            </w:r>
            <w:r w:rsidRPr="00B27DAF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F</w:t>
            </w:r>
            <w:r w:rsidRPr="00B27DAF">
              <w:rPr>
                <w:rFonts w:eastAsia="Times New Roman" w:cs="Times New Roman"/>
                <w:color w:val="000000"/>
                <w:szCs w:val="28"/>
                <w:vertAlign w:val="subscript"/>
                <w:lang w:eastAsia="ru-RU"/>
              </w:rPr>
              <w:t>i</w:t>
            </w:r>
            <w:proofErr w:type="spellEnd"/>
          </w:p>
        </w:tc>
      </w:tr>
      <w:tr w:rsidR="00B27DAF" w:rsidRPr="00B27DAF" w:rsidTr="00B158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>Аппарат Губернатора и Правительства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27DAF" w:rsidRPr="00B27DAF" w:rsidTr="00B158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Архивное управление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75%</w:t>
            </w:r>
          </w:p>
        </w:tc>
      </w:tr>
      <w:tr w:rsidR="00B27DAF" w:rsidRPr="00B27DAF" w:rsidTr="00B158C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административного управления и протокола Губернатора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100%</w:t>
            </w:r>
          </w:p>
        </w:tc>
      </w:tr>
      <w:tr w:rsidR="00B27DAF" w:rsidRPr="00B27DAF" w:rsidTr="00B158C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государственного жилищного надзора и контроля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</w:tr>
      <w:tr w:rsidR="00B27DAF" w:rsidRPr="00B27DAF" w:rsidTr="00B158C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государственного строительного надзора и государственной экспертизы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</w:tr>
      <w:tr w:rsidR="00B27DAF" w:rsidRPr="00B27DAF" w:rsidTr="00B158C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общего и профессионального образования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67%</w:t>
            </w:r>
          </w:p>
        </w:tc>
      </w:tr>
      <w:tr w:rsidR="00B27DAF" w:rsidRPr="00B27DAF" w:rsidTr="00B158C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агропромышленному </w:t>
            </w: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и </w:t>
            </w:r>
            <w:proofErr w:type="spellStart"/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>рыбохозяйственному</w:t>
            </w:r>
            <w:proofErr w:type="spellEnd"/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комплексу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</w:tr>
      <w:tr w:rsidR="00B27DAF" w:rsidRPr="00B27DAF" w:rsidTr="00B158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внешним связям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</w:tr>
      <w:tr w:rsidR="00B27DAF" w:rsidRPr="00B27DAF" w:rsidTr="00B158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дорожному хозяйству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</w:tr>
      <w:tr w:rsidR="00B27DAF" w:rsidRPr="00B27DAF" w:rsidTr="00B158C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жилищно-коммунальному хозяйству и транспорту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27DAF" w:rsidRPr="00B27DAF" w:rsidTr="00B158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здравоохранению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25%</w:t>
            </w:r>
          </w:p>
        </w:tc>
      </w:tr>
      <w:tr w:rsidR="00B27DAF" w:rsidRPr="00B27DAF" w:rsidTr="00B158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культуре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</w:tr>
      <w:tr w:rsidR="00B27DAF" w:rsidRPr="00B27DAF" w:rsidTr="00B158C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охране, контролю </w:t>
            </w: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и регулированию использования объектов животного мира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75%</w:t>
            </w:r>
          </w:p>
        </w:tc>
      </w:tr>
      <w:tr w:rsidR="00B27DAF" w:rsidRPr="00B27DAF" w:rsidTr="00B158C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печати и связям </w:t>
            </w: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с общественностью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50%</w:t>
            </w:r>
          </w:p>
        </w:tc>
      </w:tr>
      <w:tr w:rsidR="00B27DAF" w:rsidRPr="00B27DAF" w:rsidTr="00B158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природным ресурсам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50%</w:t>
            </w:r>
          </w:p>
        </w:tc>
      </w:tr>
      <w:tr w:rsidR="00B27DAF" w:rsidRPr="00B27DAF" w:rsidTr="00B158C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развитию малого, среднего бизнеса и потребительского рынка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27DAF" w:rsidRPr="00B27DAF" w:rsidTr="00B158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связи и информатизации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71%</w:t>
            </w:r>
          </w:p>
        </w:tc>
      </w:tr>
      <w:tr w:rsidR="00B27DAF" w:rsidRPr="00B27DAF" w:rsidTr="00B158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социальной защите населения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75%</w:t>
            </w:r>
          </w:p>
        </w:tc>
      </w:tr>
      <w:tr w:rsidR="00B27DAF" w:rsidRPr="00B27DAF" w:rsidTr="00B158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строительству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27DAF" w:rsidRPr="00B27DAF" w:rsidTr="00B158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>Комитет по труду и занятости населения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50%</w:t>
            </w:r>
          </w:p>
        </w:tc>
      </w:tr>
      <w:tr w:rsidR="00B27DAF" w:rsidRPr="00B27DAF" w:rsidTr="00B158C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по физической культуре </w:t>
            </w: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и спорту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100%</w:t>
            </w:r>
          </w:p>
        </w:tc>
      </w:tr>
      <w:tr w:rsidR="00B27DAF" w:rsidRPr="00B27DAF" w:rsidTr="00B158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правопорядка и безопасности 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-</w:t>
            </w:r>
          </w:p>
        </w:tc>
      </w:tr>
      <w:tr w:rsidR="00B27DAF" w:rsidRPr="00B27DAF" w:rsidTr="00B158C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Комитет экономического развития </w:t>
            </w: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и инвестиционной деятельности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25%</w:t>
            </w:r>
          </w:p>
        </w:tc>
      </w:tr>
      <w:tr w:rsidR="00B27DAF" w:rsidRPr="00B27DAF" w:rsidTr="00B158C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Ленинградский областной комитет </w:t>
            </w: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по управлению государственным имуществом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</w:tr>
      <w:tr w:rsidR="00B27DAF" w:rsidRPr="00B27DAF" w:rsidTr="00B158C8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ветеринарии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25%</w:t>
            </w:r>
          </w:p>
        </w:tc>
      </w:tr>
      <w:tr w:rsidR="00B27DAF" w:rsidRPr="00B27DAF" w:rsidTr="00B158C8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>Управление записи актов гражданского состояния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75%</w:t>
            </w:r>
          </w:p>
        </w:tc>
      </w:tr>
      <w:tr w:rsidR="00B27DAF" w:rsidRPr="00B27DAF" w:rsidTr="00B158C8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Управление Ленинградской области </w:t>
            </w:r>
            <w:r w:rsidRPr="00B27DA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по государственному техническому надзору и контролю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B27DA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0%</w:t>
            </w:r>
          </w:p>
        </w:tc>
      </w:tr>
      <w:tr w:rsidR="00B27DAF" w:rsidRPr="00B27DAF" w:rsidTr="00B158C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B27DAF" w:rsidRPr="00B27DAF" w:rsidTr="00B158C8">
        <w:trPr>
          <w:trHeight w:val="300"/>
        </w:trPr>
        <w:tc>
          <w:tcPr>
            <w:tcW w:w="157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DAF" w:rsidRPr="00B27DAF" w:rsidRDefault="00B27DAF" w:rsidP="00B27DAF">
            <w:pPr>
              <w:ind w:firstLine="0"/>
              <w:jc w:val="lef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B27DA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* - срок исполнения мероприятия не наступил. При расчете </w:t>
            </w:r>
            <w:proofErr w:type="spellStart"/>
            <w:r w:rsidRPr="00B27DA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Si</w:t>
            </w:r>
            <w:proofErr w:type="spellEnd"/>
            <w:r w:rsidRPr="00B27DA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-план, </w:t>
            </w:r>
            <w:proofErr w:type="spellStart"/>
            <w:r w:rsidRPr="00B27DA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Si</w:t>
            </w:r>
            <w:proofErr w:type="spellEnd"/>
            <w:r w:rsidRPr="00B27DA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27DA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Fi</w:t>
            </w:r>
            <w:proofErr w:type="spellEnd"/>
            <w:r w:rsidRPr="00B27DA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 значение не учитывается, приводится </w:t>
            </w:r>
            <w:proofErr w:type="spellStart"/>
            <w:r w:rsidRPr="00B27DA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</w:p>
        </w:tc>
      </w:tr>
    </w:tbl>
    <w:p w:rsidR="00E17B17" w:rsidRDefault="00E17B17"/>
    <w:sectPr w:rsidR="00E17B17" w:rsidSect="00B158C8">
      <w:pgSz w:w="16840" w:h="11900" w:orient="landscape"/>
      <w:pgMar w:top="568" w:right="1134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3E" w:rsidRDefault="0025093E" w:rsidP="00B93AC8">
      <w:r>
        <w:separator/>
      </w:r>
    </w:p>
  </w:endnote>
  <w:endnote w:type="continuationSeparator" w:id="0">
    <w:p w:rsidR="0025093E" w:rsidRDefault="0025093E" w:rsidP="00B9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70209"/>
      <w:docPartObj>
        <w:docPartGallery w:val="Page Numbers (Bottom of Page)"/>
        <w:docPartUnique/>
      </w:docPartObj>
    </w:sdtPr>
    <w:sdtContent>
      <w:p w:rsidR="00B27DAF" w:rsidRDefault="00B27DA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8C8">
          <w:rPr>
            <w:noProof/>
          </w:rPr>
          <w:t>1</w:t>
        </w:r>
        <w:r>
          <w:fldChar w:fldCharType="end"/>
        </w:r>
      </w:p>
    </w:sdtContent>
  </w:sdt>
  <w:p w:rsidR="00B27DAF" w:rsidRDefault="00B27D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3E" w:rsidRDefault="0025093E" w:rsidP="00B93AC8">
      <w:r>
        <w:separator/>
      </w:r>
    </w:p>
  </w:footnote>
  <w:footnote w:type="continuationSeparator" w:id="0">
    <w:p w:rsidR="0025093E" w:rsidRDefault="0025093E" w:rsidP="00B9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18E"/>
    <w:multiLevelType w:val="hybridMultilevel"/>
    <w:tmpl w:val="81B232CA"/>
    <w:lvl w:ilvl="0" w:tplc="FFDAE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EC72A8"/>
    <w:multiLevelType w:val="hybridMultilevel"/>
    <w:tmpl w:val="2ECEF2E6"/>
    <w:lvl w:ilvl="0" w:tplc="1A126A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E"/>
    <w:rsid w:val="000853E5"/>
    <w:rsid w:val="000971B0"/>
    <w:rsid w:val="00132CAC"/>
    <w:rsid w:val="00137527"/>
    <w:rsid w:val="00237B04"/>
    <w:rsid w:val="0025093E"/>
    <w:rsid w:val="00250E19"/>
    <w:rsid w:val="0028456A"/>
    <w:rsid w:val="002E7B8F"/>
    <w:rsid w:val="00351ED8"/>
    <w:rsid w:val="0037621F"/>
    <w:rsid w:val="00387C76"/>
    <w:rsid w:val="003C558E"/>
    <w:rsid w:val="0044110E"/>
    <w:rsid w:val="00455A20"/>
    <w:rsid w:val="00487EB0"/>
    <w:rsid w:val="0053404A"/>
    <w:rsid w:val="00600243"/>
    <w:rsid w:val="006118FA"/>
    <w:rsid w:val="00620939"/>
    <w:rsid w:val="006D1B7F"/>
    <w:rsid w:val="007D380A"/>
    <w:rsid w:val="007E1B62"/>
    <w:rsid w:val="00A45D8A"/>
    <w:rsid w:val="00B0319B"/>
    <w:rsid w:val="00B05898"/>
    <w:rsid w:val="00B158C8"/>
    <w:rsid w:val="00B27DAF"/>
    <w:rsid w:val="00B93AC8"/>
    <w:rsid w:val="00C75A8B"/>
    <w:rsid w:val="00CB22BB"/>
    <w:rsid w:val="00D85C38"/>
    <w:rsid w:val="00E063B9"/>
    <w:rsid w:val="00E17B17"/>
    <w:rsid w:val="00E878D4"/>
    <w:rsid w:val="00ED2F6B"/>
    <w:rsid w:val="00F43865"/>
    <w:rsid w:val="00F839E8"/>
    <w:rsid w:val="00F9208D"/>
    <w:rsid w:val="00FA7FA4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DE"/>
    <w:pPr>
      <w:ind w:left="720"/>
      <w:contextualSpacing/>
    </w:pPr>
  </w:style>
  <w:style w:type="table" w:styleId="a4">
    <w:name w:val="Table Grid"/>
    <w:basedOn w:val="a1"/>
    <w:uiPriority w:val="59"/>
    <w:rsid w:val="0035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AC8"/>
  </w:style>
  <w:style w:type="paragraph" w:styleId="a7">
    <w:name w:val="footer"/>
    <w:basedOn w:val="a"/>
    <w:link w:val="a8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DE"/>
    <w:pPr>
      <w:ind w:left="720"/>
      <w:contextualSpacing/>
    </w:pPr>
  </w:style>
  <w:style w:type="table" w:styleId="a4">
    <w:name w:val="Table Grid"/>
    <w:basedOn w:val="a1"/>
    <w:uiPriority w:val="59"/>
    <w:rsid w:val="0035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AC8"/>
  </w:style>
  <w:style w:type="paragraph" w:styleId="a7">
    <w:name w:val="footer"/>
    <w:basedOn w:val="a"/>
    <w:link w:val="a8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1DC5-F244-4D58-B39A-7FD439C1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Наталья Ивановна Самсонова</cp:lastModifiedBy>
  <cp:revision>23</cp:revision>
  <cp:lastPrinted>2016-06-08T12:03:00Z</cp:lastPrinted>
  <dcterms:created xsi:type="dcterms:W3CDTF">2016-06-07T07:39:00Z</dcterms:created>
  <dcterms:modified xsi:type="dcterms:W3CDTF">2016-06-10T12:50:00Z</dcterms:modified>
</cp:coreProperties>
</file>