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80" w:rsidRPr="00BC0D1C" w:rsidRDefault="00506080" w:rsidP="003379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1C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проверок за 201</w:t>
      </w:r>
      <w:r w:rsidR="00BC0D1C" w:rsidRPr="00BC0D1C">
        <w:rPr>
          <w:rFonts w:ascii="Times New Roman" w:hAnsi="Times New Roman" w:cs="Times New Roman"/>
          <w:b/>
          <w:sz w:val="28"/>
          <w:szCs w:val="28"/>
        </w:rPr>
        <w:t>4</w:t>
      </w:r>
      <w:r w:rsidRPr="00BC0D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6080" w:rsidRPr="00BC0D1C" w:rsidRDefault="00506080" w:rsidP="003379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0D1C" w:rsidRPr="00BC0D1C" w:rsidRDefault="00BC0D1C" w:rsidP="00BC0D1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885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296"/>
        <w:gridCol w:w="1417"/>
        <w:gridCol w:w="1418"/>
        <w:gridCol w:w="1275"/>
        <w:gridCol w:w="709"/>
        <w:gridCol w:w="1134"/>
      </w:tblGrid>
      <w:tr w:rsidR="00BC0D1C" w:rsidRPr="00BC0D1C" w:rsidTr="00BC0D1C">
        <w:trPr>
          <w:jc w:val="center"/>
        </w:trPr>
        <w:tc>
          <w:tcPr>
            <w:tcW w:w="63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BC0D1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C0D1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9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5953" w:type="dxa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контроля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0D1C" w:rsidRPr="00BC0D1C" w:rsidRDefault="00BC0D1C" w:rsidP="0053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BC0D1C">
              <w:rPr>
                <w:rFonts w:ascii="Times New Roman" w:eastAsia="Times New Roman" w:hAnsi="Times New Roman" w:cs="Times New Roman"/>
                <w:b/>
                <w:lang w:eastAsia="ru-RU"/>
              </w:rPr>
              <w:t>Подведом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BC0D1C">
              <w:rPr>
                <w:rFonts w:ascii="Times New Roman" w:eastAsia="Times New Roman" w:hAnsi="Times New Roman" w:cs="Times New Roman"/>
                <w:b/>
                <w:lang w:eastAsia="ru-RU"/>
              </w:rPr>
              <w:t>ственные</w:t>
            </w:r>
            <w:proofErr w:type="spellEnd"/>
            <w:proofErr w:type="gramEnd"/>
            <w:r w:rsidRPr="00BC0D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казенные учреждения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0D1C" w:rsidRPr="00BC0D1C" w:rsidRDefault="00BC0D1C" w:rsidP="0053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BC0D1C">
              <w:rPr>
                <w:rFonts w:ascii="Times New Roman" w:eastAsia="Times New Roman" w:hAnsi="Times New Roman" w:cs="Times New Roman"/>
                <w:b/>
                <w:lang w:eastAsia="ru-RU"/>
              </w:rPr>
              <w:t>Подведом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BC0D1C">
              <w:rPr>
                <w:rFonts w:ascii="Times New Roman" w:eastAsia="Times New Roman" w:hAnsi="Times New Roman" w:cs="Times New Roman"/>
                <w:b/>
                <w:lang w:eastAsia="ru-RU"/>
              </w:rPr>
              <w:t>ственные</w:t>
            </w:r>
            <w:proofErr w:type="spellEnd"/>
            <w:proofErr w:type="gramEnd"/>
            <w:r w:rsidRPr="00BC0D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автономные и бюджетные учреждения</w:t>
            </w:r>
          </w:p>
          <w:p w:rsidR="00BC0D1C" w:rsidRPr="00BC0D1C" w:rsidRDefault="00BC0D1C" w:rsidP="0053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0D1C" w:rsidRPr="00BC0D1C" w:rsidRDefault="00BC0D1C" w:rsidP="0053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b/>
                <w:lang w:eastAsia="ru-RU"/>
              </w:rPr>
              <w:t>Получатели межбюджетных трансфертов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0D1C" w:rsidRPr="00BC0D1C" w:rsidRDefault="00BC0D1C" w:rsidP="0053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b/>
                <w:lang w:eastAsia="ru-RU"/>
              </w:rPr>
              <w:t>Иные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0D1C" w:rsidRPr="00BC0D1C" w:rsidRDefault="00BC0D1C" w:rsidP="0053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0D1C" w:rsidRPr="00BC0D1C" w:rsidRDefault="00BC0D1C" w:rsidP="0053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0D1C" w:rsidRPr="00BC0D1C" w:rsidRDefault="00BC0D1C" w:rsidP="0053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0D1C" w:rsidRPr="00BC0D1C" w:rsidRDefault="00BC0D1C" w:rsidP="0053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0D1C" w:rsidRPr="00BC0D1C" w:rsidRDefault="00BC0D1C" w:rsidP="0053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0D1C" w:rsidRPr="00BC0D1C" w:rsidRDefault="00BC0D1C" w:rsidP="0053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0D1C" w:rsidRPr="00BC0D1C" w:rsidRDefault="00BC0D1C" w:rsidP="0053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0D1C" w:rsidRPr="00BC0D1C" w:rsidRDefault="00BC0D1C" w:rsidP="0053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Количество проверенных объектов контроля, в том числе  вне плана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Количество выявленных нарушений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Объем проверенных средств областного бюджета (тыс. руб.).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44372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235,100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235,100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Объем выявленных нарушений – всего (тыс. руб.),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22645,2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Сумма выявленных нарушений бюджетного законодательства РФ и иных нормативных правовых актов, регулирующих бюджетные правоотношения (тыс. руб.),</w:t>
            </w:r>
          </w:p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22645,2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4.1.1.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нецелевое использование  бюджетных средств;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7060,5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4.1.2.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 осуществление неподтвержденных расходов бюджетных средств;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4263,3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4.1.3.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 осуществление сверхнормативных расходов бюджетных средств, а также неправомерных расходов бюджетных средств, в том числе образовавшихся в результате завышения стоимости и объемов закупленных товаров, выполненных работ, оказанных услуг;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4.1.4.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нарушение порядка и получения и/или использования средств, выделенных из областного бюджета на возвратной и безвозвратной основе;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4.1.5.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нарушение принципа эффективности и экономности использования бюджетных средств;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8322,6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4.1.6.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нарушение порядка ведения учета, в том числе бухгалтерского (бюджетного) учета и отчетности, имевшие негативные финансовые последствия;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4.1.7.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нарушение порядка ведения учета, в том числе бухгалтерского (бюджетного) учета и отчетности, не повлекшие ущерба для государства, а также не имевшие негативных финансовых последствий.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2998,8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 xml:space="preserve">Сумма выявленных нарушений при осуществлении </w:t>
            </w:r>
            <w:proofErr w:type="gramStart"/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законодательства РФ и иных нормативных правовых актов в сфере закупок товаров, работ, услуг для обеспечения государственных нужд Ленинградской области (тыс. руб.)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4.3.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Сумма выявленных иных нарушений (не включенных в п.4.1. и 4.2.) (тыс. руб.),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4.3.1.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расхождение фактического наличия денежных сре</w:t>
            </w:r>
            <w:proofErr w:type="gramStart"/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дств с д</w:t>
            </w:r>
            <w:proofErr w:type="gramEnd"/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анными бухгалтерского (бюджетного) учета, выразившееся в их недостаче;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trHeight w:val="150"/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4.3.2.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превышение фактического наличия денежных средств над данными бухгалтерского (бюджетного) учета (излишки денежных средств);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4.3.3.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нецелевое использование материальных ценностей;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4.3.4.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неправомерное использование материальных ценностей;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4.3.5.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расхождение фактического наличия материальных ценностей с данными бухгалтерского (бюджетного) учета, выразившееся в их недостаче;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4.3.6.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превышение фактического наличия материальных ценностей над данными бухгалтерского (бюджетного) учета (излишки материальных ценностей);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4.3.7.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неэффективное (неэкономное) использование материальных ценностей;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4.3.8.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 нарушение порядка учета материальных ценностей и регистрации прав на них.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Принятые меры по выявленным нарушениям (недостаткам), в том числе: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количество материалов проверок, направленных в правоохранительные органы;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объем возмещенных средств (тыс. руб.)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Количество лиц, привлеченных к дисциплинарной ответственности.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Количество лиц, привлеченных к материальной ответственности (руб.).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D1C" w:rsidRPr="00BC0D1C" w:rsidTr="00BC0D1C">
        <w:trPr>
          <w:jc w:val="center"/>
        </w:trPr>
        <w:tc>
          <w:tcPr>
            <w:tcW w:w="6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2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Информация об устранении нарушений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D1C" w:rsidRPr="00BC0D1C" w:rsidRDefault="00BC0D1C" w:rsidP="00B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6725B" w:rsidRPr="00BC0D1C" w:rsidRDefault="00C6725B" w:rsidP="00506080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C6725B" w:rsidRPr="00BC0D1C" w:rsidSect="00BC0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80"/>
    <w:rsid w:val="001F58B2"/>
    <w:rsid w:val="003379B2"/>
    <w:rsid w:val="00506080"/>
    <w:rsid w:val="00BC0D1C"/>
    <w:rsid w:val="00C6725B"/>
    <w:rsid w:val="00F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080"/>
    <w:rPr>
      <w:b/>
      <w:bCs/>
    </w:rPr>
  </w:style>
  <w:style w:type="paragraph" w:customStyle="1" w:styleId="ConsPlusNonformat">
    <w:name w:val="ConsPlusNonformat"/>
    <w:uiPriority w:val="99"/>
    <w:rsid w:val="0033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080"/>
    <w:rPr>
      <w:b/>
      <w:bCs/>
    </w:rPr>
  </w:style>
  <w:style w:type="paragraph" w:customStyle="1" w:styleId="ConsPlusNonformat">
    <w:name w:val="ConsPlusNonformat"/>
    <w:uiPriority w:val="99"/>
    <w:rsid w:val="0033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5</cp:revision>
  <dcterms:created xsi:type="dcterms:W3CDTF">2017-03-15T12:38:00Z</dcterms:created>
  <dcterms:modified xsi:type="dcterms:W3CDTF">2017-03-15T12:58:00Z</dcterms:modified>
</cp:coreProperties>
</file>