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A" w:rsidRPr="00881738" w:rsidRDefault="00881738" w:rsidP="008C6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38">
        <w:rPr>
          <w:rFonts w:ascii="Times New Roman" w:hAnsi="Times New Roman" w:cs="Times New Roman"/>
          <w:b/>
          <w:sz w:val="28"/>
          <w:szCs w:val="28"/>
        </w:rPr>
        <w:t>СВОДНЫЙ ДОКЛАД</w:t>
      </w:r>
    </w:p>
    <w:p w:rsidR="00881738" w:rsidRDefault="00881738" w:rsidP="008C6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38">
        <w:rPr>
          <w:rFonts w:ascii="Times New Roman" w:hAnsi="Times New Roman" w:cs="Times New Roman"/>
          <w:b/>
          <w:sz w:val="28"/>
          <w:szCs w:val="28"/>
        </w:rPr>
        <w:t>об основных направлениях информатизации в органах исполнительной власти в 2018 году</w:t>
      </w:r>
    </w:p>
    <w:p w:rsidR="008C6368" w:rsidRPr="00881738" w:rsidRDefault="008C6368" w:rsidP="008C6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38" w:rsidRDefault="001F730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цифрового развития Ленинградской области (далее – Комитет)</w:t>
      </w:r>
      <w:r w:rsidR="00267068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2670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использованию информационно-коммуникационных технологий </w:t>
      </w:r>
      <w:r w:rsidR="0088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 и подведомственными им учреждениями.</w:t>
      </w:r>
    </w:p>
    <w:p w:rsidR="0038196E" w:rsidRDefault="001F730F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Комитетом был</w:t>
      </w:r>
      <w:r w:rsidR="0038196E">
        <w:rPr>
          <w:rFonts w:ascii="Times New Roman" w:hAnsi="Times New Roman" w:cs="Times New Roman"/>
          <w:sz w:val="28"/>
          <w:szCs w:val="28"/>
        </w:rPr>
        <w:t>о согласовано 2</w:t>
      </w:r>
      <w:r w:rsidR="004E0B25">
        <w:rPr>
          <w:rFonts w:ascii="Times New Roman" w:hAnsi="Times New Roman" w:cs="Times New Roman"/>
          <w:sz w:val="28"/>
          <w:szCs w:val="28"/>
        </w:rPr>
        <w:t>7</w:t>
      </w:r>
      <w:r w:rsidR="0038196E">
        <w:rPr>
          <w:rFonts w:ascii="Times New Roman" w:hAnsi="Times New Roman" w:cs="Times New Roman"/>
          <w:sz w:val="28"/>
          <w:szCs w:val="28"/>
        </w:rPr>
        <w:t xml:space="preserve"> </w:t>
      </w:r>
      <w:r w:rsidR="00267068">
        <w:rPr>
          <w:rFonts w:ascii="Times New Roman" w:hAnsi="Times New Roman" w:cs="Times New Roman"/>
          <w:sz w:val="28"/>
          <w:szCs w:val="28"/>
        </w:rPr>
        <w:t>планов</w:t>
      </w:r>
      <w:r w:rsidR="0038196E">
        <w:rPr>
          <w:rFonts w:ascii="Times New Roman" w:hAnsi="Times New Roman" w:cs="Times New Roman"/>
          <w:sz w:val="28"/>
          <w:szCs w:val="28"/>
        </w:rPr>
        <w:t xml:space="preserve"> информатизации органов исполнительной власти Ленинградской области на сумму </w:t>
      </w:r>
      <w:r w:rsidR="0038196E" w:rsidRPr="0038196E">
        <w:rPr>
          <w:rFonts w:ascii="Times New Roman" w:hAnsi="Times New Roman" w:cs="Times New Roman"/>
        </w:rPr>
        <w:t> </w:t>
      </w:r>
      <w:r w:rsidR="0038196E" w:rsidRPr="0038196E">
        <w:rPr>
          <w:rFonts w:ascii="Times New Roman" w:hAnsi="Times New Roman" w:cs="Times New Roman"/>
          <w:b/>
          <w:bCs/>
          <w:sz w:val="28"/>
          <w:szCs w:val="28"/>
        </w:rPr>
        <w:t>1 104</w:t>
      </w:r>
      <w:r w:rsidR="00236A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8196E" w:rsidRPr="0038196E">
        <w:rPr>
          <w:rFonts w:ascii="Times New Roman" w:hAnsi="Times New Roman" w:cs="Times New Roman"/>
          <w:b/>
          <w:bCs/>
          <w:sz w:val="28"/>
          <w:szCs w:val="28"/>
        </w:rPr>
        <w:t>068</w:t>
      </w:r>
      <w:r w:rsidR="00236A7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196E" w:rsidRPr="003819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36A75">
        <w:rPr>
          <w:rFonts w:ascii="Times New Roman" w:hAnsi="Times New Roman" w:cs="Times New Roman"/>
          <w:b/>
          <w:bCs/>
          <w:sz w:val="28"/>
          <w:szCs w:val="28"/>
        </w:rPr>
        <w:t xml:space="preserve">2 тысяч </w:t>
      </w:r>
      <w:r w:rsidR="0038196E">
        <w:rPr>
          <w:rFonts w:ascii="Times New Roman" w:hAnsi="Times New Roman" w:cs="Times New Roman"/>
          <w:bCs/>
          <w:sz w:val="28"/>
          <w:szCs w:val="28"/>
        </w:rPr>
        <w:t xml:space="preserve">рублей, что составило примерно </w:t>
      </w:r>
      <w:r w:rsidR="004E0B25" w:rsidRPr="004E0B25">
        <w:rPr>
          <w:rFonts w:ascii="Times New Roman" w:hAnsi="Times New Roman" w:cs="Times New Roman"/>
          <w:bCs/>
          <w:sz w:val="28"/>
          <w:szCs w:val="28"/>
        </w:rPr>
        <w:t>0,95</w:t>
      </w:r>
      <w:r w:rsidR="0038196E" w:rsidRPr="004E0B25">
        <w:rPr>
          <w:rFonts w:ascii="Times New Roman" w:hAnsi="Times New Roman" w:cs="Times New Roman"/>
          <w:bCs/>
          <w:sz w:val="28"/>
          <w:szCs w:val="28"/>
        </w:rPr>
        <w:t>%</w:t>
      </w:r>
      <w:r w:rsidR="0038196E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запланированной расходной части областного бюджета Ленинградской области на 2018 год.</w:t>
      </w:r>
    </w:p>
    <w:p w:rsidR="001F730F" w:rsidRPr="00236A75" w:rsidRDefault="0038196E" w:rsidP="0004683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Фактическ</w:t>
      </w:r>
      <w:r w:rsidR="00B9642A">
        <w:rPr>
          <w:rFonts w:ascii="Times New Roman" w:hAnsi="Times New Roman" w:cs="Times New Roman"/>
          <w:bCs/>
          <w:sz w:val="28"/>
          <w:szCs w:val="28"/>
        </w:rPr>
        <w:t xml:space="preserve">ие расходы на ИКТ </w:t>
      </w:r>
      <w:r>
        <w:rPr>
          <w:rFonts w:ascii="Times New Roman" w:hAnsi="Times New Roman" w:cs="Times New Roman"/>
          <w:bCs/>
          <w:sz w:val="28"/>
          <w:szCs w:val="28"/>
        </w:rPr>
        <w:t>по данным Комитета финансов Ленинградской области составил</w:t>
      </w:r>
      <w:r w:rsidR="00B964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A5E" w:rsidRPr="00480A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0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A5E" w:rsidRPr="00480A5E">
        <w:rPr>
          <w:rFonts w:ascii="Times New Roman" w:hAnsi="Times New Roman" w:cs="Times New Roman"/>
          <w:b/>
          <w:bCs/>
          <w:sz w:val="28"/>
          <w:szCs w:val="28"/>
        </w:rPr>
        <w:t>438</w:t>
      </w:r>
      <w:r w:rsidR="00480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A5E" w:rsidRPr="00480A5E">
        <w:rPr>
          <w:rFonts w:ascii="Times New Roman" w:hAnsi="Times New Roman" w:cs="Times New Roman"/>
          <w:b/>
          <w:bCs/>
          <w:sz w:val="28"/>
          <w:szCs w:val="28"/>
        </w:rPr>
        <w:t>314,178</w:t>
      </w:r>
      <w:r w:rsidR="00B96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A75" w:rsidRPr="00480A5E">
        <w:rPr>
          <w:rFonts w:ascii="Times New Roman" w:hAnsi="Times New Roman" w:cs="Times New Roman"/>
          <w:bCs/>
          <w:sz w:val="28"/>
          <w:szCs w:val="28"/>
        </w:rPr>
        <w:t>тысяч</w:t>
      </w:r>
      <w:r w:rsidRPr="00480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рублей, что в расчете на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38196E">
        <w:rPr>
          <w:rFonts w:ascii="Times New Roman" w:hAnsi="Times New Roman" w:cs="Times New Roman"/>
          <w:bCs/>
          <w:sz w:val="28"/>
          <w:szCs w:val="28"/>
        </w:rPr>
        <w:t>одну тысячу жителей 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енинградской области составило </w:t>
      </w:r>
      <w:r w:rsidR="004E0B25">
        <w:rPr>
          <w:rFonts w:ascii="Times New Roman" w:hAnsi="Times New Roman" w:cs="Times New Roman"/>
          <w:bCs/>
          <w:sz w:val="28"/>
          <w:szCs w:val="28"/>
        </w:rPr>
        <w:t>793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4E0B2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. По сравнению с 201</w:t>
      </w:r>
      <w:r w:rsidR="00DA737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годом расходы</w:t>
      </w:r>
      <w:r w:rsidR="00131345">
        <w:rPr>
          <w:rFonts w:ascii="Times New Roman" w:hAnsi="Times New Roman" w:cs="Times New Roman"/>
          <w:bCs/>
          <w:sz w:val="28"/>
          <w:szCs w:val="28"/>
        </w:rPr>
        <w:t xml:space="preserve"> увел</w:t>
      </w:r>
      <w:r w:rsidR="00267068">
        <w:rPr>
          <w:rFonts w:ascii="Times New Roman" w:hAnsi="Times New Roman" w:cs="Times New Roman"/>
          <w:bCs/>
          <w:sz w:val="28"/>
          <w:szCs w:val="28"/>
        </w:rPr>
        <w:t xml:space="preserve">ичились на </w:t>
      </w:r>
      <w:r w:rsidR="00267068" w:rsidRPr="00E23900">
        <w:rPr>
          <w:rFonts w:ascii="Times New Roman" w:hAnsi="Times New Roman" w:cs="Times New Roman"/>
          <w:bCs/>
          <w:sz w:val="28"/>
          <w:szCs w:val="28"/>
        </w:rPr>
        <w:t>108 915 тысяч рублей</w:t>
      </w:r>
      <w:r w:rsidR="00131345">
        <w:rPr>
          <w:rFonts w:ascii="Times New Roman" w:hAnsi="Times New Roman" w:cs="Times New Roman"/>
          <w:bCs/>
          <w:sz w:val="28"/>
          <w:szCs w:val="28"/>
        </w:rPr>
        <w:t xml:space="preserve"> или 8%.</w:t>
      </w:r>
    </w:p>
    <w:p w:rsidR="0038196E" w:rsidRDefault="00267068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80F72">
        <w:rPr>
          <w:rFonts w:ascii="Times New Roman" w:hAnsi="Times New Roman" w:cs="Times New Roman"/>
          <w:bCs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0F72">
        <w:rPr>
          <w:rFonts w:ascii="Times New Roman" w:hAnsi="Times New Roman" w:cs="Times New Roman"/>
          <w:bCs/>
          <w:sz w:val="28"/>
          <w:szCs w:val="28"/>
        </w:rPr>
        <w:t>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80F72">
        <w:rPr>
          <w:rFonts w:ascii="Times New Roman" w:hAnsi="Times New Roman" w:cs="Times New Roman"/>
          <w:bCs/>
          <w:sz w:val="28"/>
          <w:szCs w:val="28"/>
        </w:rPr>
        <w:t xml:space="preserve"> был взят курс на процесс </w:t>
      </w:r>
      <w:proofErr w:type="spellStart"/>
      <w:r w:rsidR="00180F72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180F72">
        <w:rPr>
          <w:rFonts w:ascii="Times New Roman" w:hAnsi="Times New Roman" w:cs="Times New Roman"/>
          <w:bCs/>
          <w:sz w:val="28"/>
          <w:szCs w:val="28"/>
        </w:rPr>
        <w:t xml:space="preserve">. Для ведения рейтинга субъектов по уровню </w:t>
      </w:r>
      <w:proofErr w:type="spellStart"/>
      <w:r w:rsidR="00180F72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180F72">
        <w:rPr>
          <w:rFonts w:ascii="Times New Roman" w:hAnsi="Times New Roman" w:cs="Times New Roman"/>
          <w:bCs/>
          <w:sz w:val="28"/>
          <w:szCs w:val="28"/>
        </w:rPr>
        <w:t xml:space="preserve"> экспертами в рамках показателя</w:t>
      </w:r>
      <w:r w:rsidR="00B9642A">
        <w:rPr>
          <w:rFonts w:ascii="Times New Roman" w:hAnsi="Times New Roman" w:cs="Times New Roman"/>
          <w:bCs/>
          <w:sz w:val="28"/>
          <w:szCs w:val="28"/>
        </w:rPr>
        <w:t xml:space="preserve"> «Уровень </w:t>
      </w:r>
      <w:proofErr w:type="spellStart"/>
      <w:r w:rsidR="00B9642A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B9642A">
        <w:rPr>
          <w:rFonts w:ascii="Times New Roman" w:hAnsi="Times New Roman" w:cs="Times New Roman"/>
          <w:bCs/>
          <w:sz w:val="28"/>
          <w:szCs w:val="28"/>
        </w:rPr>
        <w:t xml:space="preserve"> субъекта»</w:t>
      </w:r>
      <w:r w:rsidR="00180F72">
        <w:rPr>
          <w:rFonts w:ascii="Times New Roman" w:hAnsi="Times New Roman" w:cs="Times New Roman"/>
          <w:bCs/>
          <w:sz w:val="28"/>
          <w:szCs w:val="28"/>
        </w:rPr>
        <w:t xml:space="preserve"> оценивается семь ключевых </w:t>
      </w:r>
      <w:proofErr w:type="spellStart"/>
      <w:r w:rsidR="00180F72">
        <w:rPr>
          <w:rFonts w:ascii="Times New Roman" w:hAnsi="Times New Roman" w:cs="Times New Roman"/>
          <w:bCs/>
          <w:sz w:val="28"/>
          <w:szCs w:val="28"/>
        </w:rPr>
        <w:t>субиндексов</w:t>
      </w:r>
      <w:proofErr w:type="spellEnd"/>
      <w:r w:rsidR="00180F72">
        <w:rPr>
          <w:rFonts w:ascii="Times New Roman" w:hAnsi="Times New Roman" w:cs="Times New Roman"/>
          <w:bCs/>
          <w:sz w:val="28"/>
          <w:szCs w:val="28"/>
        </w:rPr>
        <w:t>:</w:t>
      </w:r>
    </w:p>
    <w:p w:rsidR="00942337" w:rsidRPr="002053EE" w:rsidRDefault="00942337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>информационная инфраструктура;</w:t>
      </w:r>
    </w:p>
    <w:p w:rsidR="00942337" w:rsidRPr="002053EE" w:rsidRDefault="00942337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>информационная безопасность</w:t>
      </w:r>
      <w:r w:rsidR="002053EE" w:rsidRPr="002053EE">
        <w:rPr>
          <w:rFonts w:ascii="Times New Roman" w:hAnsi="Times New Roman" w:cs="Times New Roman"/>
          <w:bCs/>
          <w:sz w:val="28"/>
          <w:szCs w:val="28"/>
        </w:rPr>
        <w:t>;</w:t>
      </w:r>
    </w:p>
    <w:p w:rsidR="00942337" w:rsidRPr="002053EE" w:rsidRDefault="00942337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 xml:space="preserve">экономические </w:t>
      </w:r>
      <w:r w:rsidR="002053EE" w:rsidRPr="002053EE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spellStart"/>
      <w:r w:rsidR="002053EE" w:rsidRPr="002053EE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2053EE" w:rsidRPr="002053E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053EE" w:rsidRPr="002053EE" w:rsidRDefault="002053EE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 xml:space="preserve">социальный эффект от внедрения </w:t>
      </w:r>
      <w:proofErr w:type="spellStart"/>
      <w:r w:rsidRPr="002053EE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2053EE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3EE" w:rsidRPr="002053EE" w:rsidRDefault="002053EE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 xml:space="preserve">нормативное регулирование и административные показатели </w:t>
      </w:r>
      <w:proofErr w:type="spellStart"/>
      <w:r w:rsidRPr="002053EE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2053EE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3EE" w:rsidRPr="002053EE" w:rsidRDefault="002053EE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>специализированные кадры и учебные программы</w:t>
      </w:r>
    </w:p>
    <w:p w:rsidR="002053EE" w:rsidRDefault="002053EE" w:rsidP="0004683D">
      <w:pPr>
        <w:pStyle w:val="a3"/>
        <w:numPr>
          <w:ilvl w:val="0"/>
          <w:numId w:val="1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3EE">
        <w:rPr>
          <w:rFonts w:ascii="Times New Roman" w:hAnsi="Times New Roman" w:cs="Times New Roman"/>
          <w:bCs/>
          <w:sz w:val="28"/>
          <w:szCs w:val="28"/>
        </w:rPr>
        <w:t>наличие и формирование исследовательских компетенций и технологических заделов, включая уровень научно-исследовательских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опытно-конструкторских работ.</w:t>
      </w:r>
    </w:p>
    <w:p w:rsidR="00701EB1" w:rsidRDefault="002053EE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Ленинградская область по данным исследования центра финансовых инноваций и безналичной экономики Московской школы управления СКОЛКОВО входит в первую десятку лидеров по значению индекса «Цифровая Россия»</w:t>
      </w:r>
      <w:r w:rsidR="00701EB1">
        <w:rPr>
          <w:rFonts w:ascii="Times New Roman" w:hAnsi="Times New Roman" w:cs="Times New Roman"/>
          <w:bCs/>
          <w:sz w:val="28"/>
          <w:szCs w:val="28"/>
        </w:rPr>
        <w:t xml:space="preserve"> и в первом полугодии 2018 года обладала одними из самых высоких темпов роста значения индекса. Сравнительная таблица по результатам исследования приведена ниже:</w:t>
      </w:r>
    </w:p>
    <w:p w:rsidR="00701EB1" w:rsidRDefault="00701EB1" w:rsidP="00046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08FA98" wp14:editId="738253BC">
            <wp:extent cx="5934075" cy="2514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D9" w:rsidRDefault="00270AD9" w:rsidP="0004683D">
      <w:pPr>
        <w:spacing w:after="0"/>
        <w:ind w:firstLine="851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Распределение значений по субиндексам, которые обуславливают финальную оценку, отображает следующая диаграмма:</w:t>
      </w:r>
    </w:p>
    <w:p w:rsidR="00701EB1" w:rsidRPr="002053EE" w:rsidRDefault="00270AD9" w:rsidP="00046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9D34E2E" wp14:editId="6A6B1E23">
            <wp:extent cx="594360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EE" w:rsidRDefault="00270AD9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данной </w:t>
      </w:r>
      <w:r w:rsidR="00267068">
        <w:rPr>
          <w:rFonts w:ascii="Times New Roman" w:hAnsi="Times New Roman" w:cs="Times New Roman"/>
          <w:bCs/>
          <w:sz w:val="28"/>
          <w:szCs w:val="28"/>
        </w:rPr>
        <w:t>диаграммы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видно, что в Ленинградской области 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лидируют такие направления, как развитие информационной инфраструктуры, наличие специализированных кадров и учебных программ,  а также уровень </w:t>
      </w:r>
      <w:r w:rsidR="00267068">
        <w:rPr>
          <w:rFonts w:ascii="Times New Roman" w:hAnsi="Times New Roman" w:cs="Times New Roman"/>
          <w:bCs/>
          <w:sz w:val="28"/>
          <w:szCs w:val="28"/>
        </w:rPr>
        <w:t>нормативного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0AD9" w:rsidRDefault="004E4C05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05">
        <w:rPr>
          <w:rFonts w:ascii="Times New Roman" w:hAnsi="Times New Roman" w:cs="Times New Roman"/>
          <w:bCs/>
          <w:sz w:val="28"/>
          <w:szCs w:val="28"/>
        </w:rPr>
        <w:t xml:space="preserve">По информации </w:t>
      </w:r>
      <w:proofErr w:type="spellStart"/>
      <w:r w:rsidRPr="004E4C05">
        <w:rPr>
          <w:rFonts w:ascii="Times New Roman" w:hAnsi="Times New Roman" w:cs="Times New Roman"/>
          <w:bCs/>
          <w:sz w:val="28"/>
          <w:szCs w:val="28"/>
        </w:rPr>
        <w:t>CNews</w:t>
      </w:r>
      <w:proofErr w:type="spellEnd"/>
      <w:r w:rsidRPr="004E4C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C05">
        <w:rPr>
          <w:rFonts w:ascii="Times New Roman" w:hAnsi="Times New Roman" w:cs="Times New Roman"/>
          <w:bCs/>
          <w:sz w:val="28"/>
          <w:szCs w:val="28"/>
        </w:rPr>
        <w:t>Analytics</w:t>
      </w:r>
      <w:proofErr w:type="spellEnd"/>
      <w:r w:rsidRPr="004E4C05">
        <w:rPr>
          <w:rFonts w:ascii="Times New Roman" w:hAnsi="Times New Roman" w:cs="Times New Roman"/>
          <w:bCs/>
          <w:sz w:val="28"/>
          <w:szCs w:val="28"/>
        </w:rPr>
        <w:t xml:space="preserve"> Ленинградская область по показателю </w:t>
      </w:r>
      <w:proofErr w:type="gramStart"/>
      <w:r w:rsidRPr="004E4C05">
        <w:rPr>
          <w:rFonts w:ascii="Times New Roman" w:hAnsi="Times New Roman" w:cs="Times New Roman"/>
          <w:bCs/>
          <w:sz w:val="28"/>
          <w:szCs w:val="28"/>
        </w:rPr>
        <w:t>ИКТ-затрат</w:t>
      </w:r>
      <w:proofErr w:type="gramEnd"/>
      <w:r w:rsidRPr="004E4C05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E4C05">
        <w:rPr>
          <w:rFonts w:ascii="Times New Roman" w:hAnsi="Times New Roman" w:cs="Times New Roman"/>
          <w:bCs/>
          <w:sz w:val="28"/>
          <w:szCs w:val="28"/>
        </w:rPr>
        <w:t xml:space="preserve"> году заняла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E4C05">
        <w:rPr>
          <w:rFonts w:ascii="Times New Roman" w:hAnsi="Times New Roman" w:cs="Times New Roman"/>
          <w:bCs/>
          <w:sz w:val="28"/>
          <w:szCs w:val="28"/>
        </w:rPr>
        <w:t xml:space="preserve"> место в рейтинге среди субъектов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опустившись в рейтинге на 1 позицию по сравнению с 2017 годом.</w:t>
      </w:r>
    </w:p>
    <w:p w:rsidR="006231DF" w:rsidRDefault="006231DF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данном исследовании ключевыми являлись плановые, а не фактические показатели.</w:t>
      </w:r>
    </w:p>
    <w:p w:rsidR="004E4C05" w:rsidRDefault="004E4C05" w:rsidP="00046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A702658" wp14:editId="2B7BBA96">
            <wp:extent cx="5943600" cy="2657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72" w:rsidRDefault="00C03B29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отчетов на 2018 год, предоставленных органами исполнительной власти Ленинградской области, по основным направлениям информатизации расходы</w:t>
      </w:r>
      <w:r w:rsidR="00B9642A">
        <w:rPr>
          <w:rFonts w:ascii="Times New Roman" w:hAnsi="Times New Roman" w:cs="Times New Roman"/>
          <w:sz w:val="28"/>
          <w:szCs w:val="28"/>
        </w:rPr>
        <w:t xml:space="preserve"> на ИКТ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9D7C2D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>создание, развитие и сопровождение государственных информационных систем  - 482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980 тыс. руб.;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>приобретение вычислительной техники и комплектующих частей к ней, коммуникационного оборудования и средств, периферийной техники и средств, а также приобретение программного обеспечения и прав на использование программного обеспечения – 490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776 тыс. руб.;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>услуги по обслуживанию и ремонту вычислительной техники и комплектующих частей к ней, коммуникационного оборудования и средств, периферийной техники и средств – 136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575,21 тыс. руб.;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 xml:space="preserve">услуги связи, в том числе услуги по предоставлению доступа к сети </w:t>
      </w:r>
      <w:r w:rsidR="00B9642A">
        <w:rPr>
          <w:rFonts w:ascii="Times New Roman" w:hAnsi="Times New Roman" w:cs="Times New Roman"/>
          <w:sz w:val="28"/>
          <w:szCs w:val="28"/>
        </w:rPr>
        <w:t>И</w:t>
      </w:r>
      <w:r w:rsidRPr="00B9642A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B9642A">
        <w:rPr>
          <w:rFonts w:ascii="Times New Roman" w:hAnsi="Times New Roman" w:cs="Times New Roman"/>
          <w:sz w:val="28"/>
          <w:szCs w:val="28"/>
        </w:rPr>
        <w:t>–</w:t>
      </w:r>
      <w:r w:rsidRPr="00B9642A">
        <w:rPr>
          <w:rFonts w:ascii="Times New Roman" w:hAnsi="Times New Roman" w:cs="Times New Roman"/>
          <w:sz w:val="28"/>
          <w:szCs w:val="28"/>
        </w:rPr>
        <w:t xml:space="preserve"> 115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846,5 тыс. руб.;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>консультационные услуги</w:t>
      </w:r>
      <w:r w:rsidR="00B9642A">
        <w:rPr>
          <w:rFonts w:ascii="Times New Roman" w:hAnsi="Times New Roman" w:cs="Times New Roman"/>
          <w:sz w:val="28"/>
          <w:szCs w:val="28"/>
        </w:rPr>
        <w:t>,</w:t>
      </w:r>
      <w:r w:rsidRPr="00B9642A">
        <w:rPr>
          <w:rFonts w:ascii="Times New Roman" w:hAnsi="Times New Roman" w:cs="Times New Roman"/>
          <w:sz w:val="28"/>
          <w:szCs w:val="28"/>
        </w:rPr>
        <w:t xml:space="preserve"> связанные с информационно-коммуникационными технологиями </w:t>
      </w:r>
      <w:r w:rsidR="00B9642A">
        <w:rPr>
          <w:rFonts w:ascii="Times New Roman" w:hAnsi="Times New Roman" w:cs="Times New Roman"/>
          <w:sz w:val="28"/>
          <w:szCs w:val="28"/>
        </w:rPr>
        <w:t>–</w:t>
      </w:r>
      <w:r w:rsidRPr="00B9642A">
        <w:rPr>
          <w:rFonts w:ascii="Times New Roman" w:hAnsi="Times New Roman" w:cs="Times New Roman"/>
          <w:sz w:val="28"/>
          <w:szCs w:val="28"/>
        </w:rPr>
        <w:t xml:space="preserve"> 13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521,34 тыс. руб.;</w:t>
      </w:r>
    </w:p>
    <w:p w:rsidR="00B15EEC" w:rsidRPr="00B9642A" w:rsidRDefault="00B15EEC" w:rsidP="0004683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2A">
        <w:rPr>
          <w:rFonts w:ascii="Times New Roman" w:hAnsi="Times New Roman" w:cs="Times New Roman"/>
          <w:sz w:val="28"/>
          <w:szCs w:val="28"/>
        </w:rPr>
        <w:t xml:space="preserve">прочие работы и расходы, связанные с ИКТ </w:t>
      </w:r>
      <w:r w:rsidR="00B9642A">
        <w:rPr>
          <w:rFonts w:ascii="Times New Roman" w:hAnsi="Times New Roman" w:cs="Times New Roman"/>
          <w:sz w:val="28"/>
          <w:szCs w:val="28"/>
        </w:rPr>
        <w:t>–</w:t>
      </w:r>
      <w:r w:rsidRPr="00B9642A">
        <w:rPr>
          <w:rFonts w:ascii="Times New Roman" w:hAnsi="Times New Roman" w:cs="Times New Roman"/>
          <w:sz w:val="28"/>
          <w:szCs w:val="28"/>
        </w:rPr>
        <w:t xml:space="preserve"> 211</w:t>
      </w:r>
      <w:r w:rsidR="00B9642A">
        <w:rPr>
          <w:rFonts w:ascii="Times New Roman" w:hAnsi="Times New Roman" w:cs="Times New Roman"/>
          <w:sz w:val="28"/>
          <w:szCs w:val="28"/>
        </w:rPr>
        <w:t xml:space="preserve"> </w:t>
      </w:r>
      <w:r w:rsidRPr="00B9642A">
        <w:rPr>
          <w:rFonts w:ascii="Times New Roman" w:hAnsi="Times New Roman" w:cs="Times New Roman"/>
          <w:sz w:val="28"/>
          <w:szCs w:val="28"/>
        </w:rPr>
        <w:t>192,69 тыс. руб.</w:t>
      </w:r>
    </w:p>
    <w:p w:rsidR="00AA0AD9" w:rsidRDefault="00B15EEC" w:rsidP="0004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1E44F" wp14:editId="7790800A">
            <wp:extent cx="5940425" cy="4636340"/>
            <wp:effectExtent l="0" t="0" r="222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97D" w:rsidRDefault="0044197D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9642A">
        <w:rPr>
          <w:rFonts w:ascii="Times New Roman" w:hAnsi="Times New Roman" w:cs="Times New Roman"/>
          <w:sz w:val="28"/>
          <w:szCs w:val="28"/>
        </w:rPr>
        <w:t>заметить</w:t>
      </w:r>
      <w:r>
        <w:rPr>
          <w:rFonts w:ascii="Times New Roman" w:hAnsi="Times New Roman" w:cs="Times New Roman"/>
          <w:sz w:val="28"/>
          <w:szCs w:val="28"/>
        </w:rPr>
        <w:t xml:space="preserve">, что данная диаграмма отображает сведения по </w:t>
      </w:r>
      <w:r w:rsidR="001A69CB"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области и их подведомственным учреждениям без учета централизованных закупок для органов исполнительной власти, осуществляемых ГКУ ЛО «Оператор «электронного правительства».</w:t>
      </w:r>
    </w:p>
    <w:p w:rsidR="0044197D" w:rsidRDefault="0044197D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Детальная информация по распределению финансирования по основным направлениям информатизации по органам исполнительной власти Ленинградской области, являющихся главными распорядителями бюджетных средств, согласно представленным отчетам/планам информатизации, указана в приложении №</w:t>
      </w:r>
      <w:r w:rsidR="001A69C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24626" w:rsidRDefault="00B47035" w:rsidP="0004683D">
      <w:pPr>
        <w:spacing w:after="0"/>
        <w:ind w:firstLine="85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проведенных мероприятий по информатизации по сферам социально-экономической деятельности</w:t>
      </w:r>
      <w:r w:rsidR="00D7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 </w:t>
      </w:r>
      <w:r w:rsidR="001A69CB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626" w:rsidRPr="00924626">
        <w:rPr>
          <w:noProof/>
          <w:lang w:eastAsia="ru-RU"/>
        </w:rPr>
        <w:t xml:space="preserve"> </w:t>
      </w:r>
    </w:p>
    <w:p w:rsidR="00523D1C" w:rsidRDefault="0091699C" w:rsidP="0004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8CFB90" wp14:editId="249BADF0">
            <wp:extent cx="5940425" cy="4081475"/>
            <wp:effectExtent l="0" t="0" r="2222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626" w:rsidRDefault="00267068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626">
        <w:rPr>
          <w:rFonts w:ascii="Times New Roman" w:hAnsi="Times New Roman" w:cs="Times New Roman"/>
          <w:sz w:val="28"/>
          <w:szCs w:val="28"/>
        </w:rPr>
        <w:t xml:space="preserve">аспределение расходов основано на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924626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по 242 КВР и представляет следующие затраты:</w:t>
      </w:r>
    </w:p>
    <w:p w:rsidR="00924626" w:rsidRPr="0091699C" w:rsidRDefault="00924626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>на ИКТ закупки в социальной сфере было затрачено -</w:t>
      </w:r>
      <w:r w:rsidR="0091699C">
        <w:rPr>
          <w:rFonts w:ascii="Times New Roman" w:hAnsi="Times New Roman" w:cs="Times New Roman"/>
          <w:sz w:val="28"/>
          <w:szCs w:val="28"/>
        </w:rPr>
        <w:t xml:space="preserve"> </w:t>
      </w:r>
      <w:r w:rsidRPr="0091699C">
        <w:rPr>
          <w:rFonts w:ascii="Times New Roman" w:hAnsi="Times New Roman" w:cs="Times New Roman"/>
          <w:sz w:val="28"/>
          <w:szCs w:val="28"/>
        </w:rPr>
        <w:t>86 457,8 тыс. рублей;</w:t>
      </w:r>
    </w:p>
    <w:p w:rsidR="00924626" w:rsidRPr="0091699C" w:rsidRDefault="00924626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>на ИКТ закупки в сфере безопасности</w:t>
      </w:r>
      <w:r w:rsidR="0091699C">
        <w:rPr>
          <w:rFonts w:ascii="Times New Roman" w:hAnsi="Times New Roman" w:cs="Times New Roman"/>
          <w:sz w:val="28"/>
          <w:szCs w:val="28"/>
        </w:rPr>
        <w:t xml:space="preserve"> </w:t>
      </w:r>
      <w:r w:rsidRPr="0091699C">
        <w:rPr>
          <w:rFonts w:ascii="Times New Roman" w:hAnsi="Times New Roman" w:cs="Times New Roman"/>
          <w:sz w:val="28"/>
          <w:szCs w:val="28"/>
        </w:rPr>
        <w:t>- 56 621,41 тыс. рублей;</w:t>
      </w:r>
    </w:p>
    <w:p w:rsidR="00924626" w:rsidRPr="0091699C" w:rsidRDefault="00924626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>на ИКТ закупки в сфере экономики</w:t>
      </w:r>
      <w:r w:rsidR="0091699C">
        <w:rPr>
          <w:rFonts w:ascii="Times New Roman" w:hAnsi="Times New Roman" w:cs="Times New Roman"/>
          <w:sz w:val="28"/>
          <w:szCs w:val="28"/>
        </w:rPr>
        <w:t xml:space="preserve"> - 51</w:t>
      </w:r>
      <w:r w:rsidRPr="0091699C">
        <w:rPr>
          <w:rFonts w:ascii="Times New Roman" w:hAnsi="Times New Roman" w:cs="Times New Roman"/>
          <w:sz w:val="28"/>
          <w:szCs w:val="28"/>
        </w:rPr>
        <w:t xml:space="preserve"> 038,36 тыс. руб</w:t>
      </w:r>
      <w:r w:rsidR="0022205E" w:rsidRPr="0091699C">
        <w:rPr>
          <w:rFonts w:ascii="Times New Roman" w:hAnsi="Times New Roman" w:cs="Times New Roman"/>
          <w:sz w:val="28"/>
          <w:szCs w:val="28"/>
        </w:rPr>
        <w:t>лей;</w:t>
      </w:r>
    </w:p>
    <w:p w:rsidR="00924626" w:rsidRPr="0091699C" w:rsidRDefault="00924626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>на ИКТ закупки агропромышленно</w:t>
      </w:r>
      <w:r w:rsidR="0091699C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 w:rsidR="0022205E" w:rsidRPr="0091699C">
        <w:rPr>
          <w:rFonts w:ascii="Times New Roman" w:hAnsi="Times New Roman" w:cs="Times New Roman"/>
          <w:sz w:val="28"/>
          <w:szCs w:val="28"/>
        </w:rPr>
        <w:t xml:space="preserve">– </w:t>
      </w:r>
      <w:r w:rsidRPr="0091699C">
        <w:rPr>
          <w:rFonts w:ascii="Times New Roman" w:hAnsi="Times New Roman" w:cs="Times New Roman"/>
          <w:sz w:val="28"/>
          <w:szCs w:val="28"/>
        </w:rPr>
        <w:t>50</w:t>
      </w:r>
      <w:r w:rsidR="0022205E"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Pr="0091699C">
        <w:rPr>
          <w:rFonts w:ascii="Times New Roman" w:hAnsi="Times New Roman" w:cs="Times New Roman"/>
          <w:sz w:val="28"/>
          <w:szCs w:val="28"/>
        </w:rPr>
        <w:t>117,44</w:t>
      </w:r>
      <w:r w:rsidR="0022205E" w:rsidRPr="00916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626" w:rsidRPr="0091699C" w:rsidRDefault="0022205E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 xml:space="preserve">на ИКТ закупки в сфере строительства – </w:t>
      </w:r>
      <w:r w:rsidR="00924626" w:rsidRPr="0091699C">
        <w:rPr>
          <w:rFonts w:ascii="Times New Roman" w:hAnsi="Times New Roman" w:cs="Times New Roman"/>
          <w:sz w:val="28"/>
          <w:szCs w:val="28"/>
        </w:rPr>
        <w:t>48</w:t>
      </w:r>
      <w:r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363,79</w:t>
      </w:r>
      <w:r w:rsidRPr="00916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626" w:rsidRPr="0091699C" w:rsidRDefault="0022205E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 xml:space="preserve">на ИКТ закупки в сфере </w:t>
      </w:r>
      <w:r w:rsidR="0091699C">
        <w:rPr>
          <w:rFonts w:ascii="Times New Roman" w:hAnsi="Times New Roman" w:cs="Times New Roman"/>
          <w:sz w:val="28"/>
          <w:szCs w:val="28"/>
        </w:rPr>
        <w:t>ЖКХ</w:t>
      </w:r>
      <w:r w:rsidR="00924626" w:rsidRPr="0091699C">
        <w:rPr>
          <w:rFonts w:ascii="Times New Roman" w:hAnsi="Times New Roman" w:cs="Times New Roman"/>
          <w:sz w:val="28"/>
          <w:szCs w:val="28"/>
        </w:rPr>
        <w:t xml:space="preserve"> и энергетик</w:t>
      </w:r>
      <w:r w:rsidRPr="0091699C">
        <w:rPr>
          <w:rFonts w:ascii="Times New Roman" w:hAnsi="Times New Roman" w:cs="Times New Roman"/>
          <w:sz w:val="28"/>
          <w:szCs w:val="28"/>
        </w:rPr>
        <w:t xml:space="preserve">и – </w:t>
      </w:r>
      <w:r w:rsidR="00924626" w:rsidRPr="0091699C">
        <w:rPr>
          <w:rFonts w:ascii="Times New Roman" w:hAnsi="Times New Roman" w:cs="Times New Roman"/>
          <w:sz w:val="28"/>
          <w:szCs w:val="28"/>
        </w:rPr>
        <w:t>16</w:t>
      </w:r>
      <w:r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300,08</w:t>
      </w:r>
      <w:r w:rsidRPr="00916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626" w:rsidRPr="0091699C" w:rsidRDefault="0022205E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 xml:space="preserve">на ИКТ закупки в сфере </w:t>
      </w:r>
      <w:r w:rsidR="00924626" w:rsidRPr="0091699C">
        <w:rPr>
          <w:rFonts w:ascii="Times New Roman" w:hAnsi="Times New Roman" w:cs="Times New Roman"/>
          <w:sz w:val="28"/>
          <w:szCs w:val="28"/>
        </w:rPr>
        <w:t>внутренн</w:t>
      </w:r>
      <w:r w:rsidRPr="0091699C">
        <w:rPr>
          <w:rFonts w:ascii="Times New Roman" w:hAnsi="Times New Roman" w:cs="Times New Roman"/>
          <w:sz w:val="28"/>
          <w:szCs w:val="28"/>
        </w:rPr>
        <w:t>ей</w:t>
      </w:r>
      <w:r w:rsidR="00924626" w:rsidRPr="0091699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1699C">
        <w:rPr>
          <w:rFonts w:ascii="Times New Roman" w:hAnsi="Times New Roman" w:cs="Times New Roman"/>
          <w:sz w:val="28"/>
          <w:szCs w:val="28"/>
        </w:rPr>
        <w:t xml:space="preserve">и - </w:t>
      </w:r>
      <w:r w:rsidR="00924626" w:rsidRPr="0091699C">
        <w:rPr>
          <w:rFonts w:ascii="Times New Roman" w:hAnsi="Times New Roman" w:cs="Times New Roman"/>
          <w:sz w:val="28"/>
          <w:szCs w:val="28"/>
        </w:rPr>
        <w:t>12</w:t>
      </w:r>
      <w:r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218,96</w:t>
      </w:r>
      <w:r w:rsidRPr="00916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626" w:rsidRPr="0091699C" w:rsidRDefault="0022205E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 xml:space="preserve">на ИКТ закупки в сфере </w:t>
      </w:r>
      <w:r w:rsidR="00924626" w:rsidRPr="0091699C">
        <w:rPr>
          <w:rFonts w:ascii="Times New Roman" w:hAnsi="Times New Roman" w:cs="Times New Roman"/>
          <w:sz w:val="28"/>
          <w:szCs w:val="28"/>
        </w:rPr>
        <w:t>финанс</w:t>
      </w:r>
      <w:r w:rsidRPr="0091699C">
        <w:rPr>
          <w:rFonts w:ascii="Times New Roman" w:hAnsi="Times New Roman" w:cs="Times New Roman"/>
          <w:sz w:val="28"/>
          <w:szCs w:val="28"/>
        </w:rPr>
        <w:t xml:space="preserve">ов - </w:t>
      </w:r>
      <w:r w:rsidR="00091D0F"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9</w:t>
      </w:r>
      <w:r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026,13</w:t>
      </w:r>
      <w:r w:rsidRPr="00916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626" w:rsidRPr="0091699C" w:rsidRDefault="0022205E" w:rsidP="0004683D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9C">
        <w:rPr>
          <w:rFonts w:ascii="Times New Roman" w:hAnsi="Times New Roman" w:cs="Times New Roman"/>
          <w:sz w:val="28"/>
          <w:szCs w:val="28"/>
        </w:rPr>
        <w:t xml:space="preserve">на ИКТ закупки </w:t>
      </w:r>
      <w:r w:rsidR="0091699C">
        <w:rPr>
          <w:rFonts w:ascii="Times New Roman" w:hAnsi="Times New Roman" w:cs="Times New Roman"/>
          <w:sz w:val="28"/>
          <w:szCs w:val="28"/>
        </w:rPr>
        <w:t>У</w:t>
      </w:r>
      <w:r w:rsidR="00091D0F" w:rsidRPr="0091699C">
        <w:rPr>
          <w:rFonts w:ascii="Times New Roman" w:hAnsi="Times New Roman" w:cs="Times New Roman"/>
          <w:sz w:val="28"/>
          <w:szCs w:val="28"/>
        </w:rPr>
        <w:t xml:space="preserve">правление делами - </w:t>
      </w:r>
      <w:r w:rsidR="00924626" w:rsidRPr="0091699C">
        <w:rPr>
          <w:rFonts w:ascii="Times New Roman" w:hAnsi="Times New Roman" w:cs="Times New Roman"/>
          <w:sz w:val="28"/>
          <w:szCs w:val="28"/>
        </w:rPr>
        <w:t>4</w:t>
      </w:r>
      <w:r w:rsidRPr="0091699C">
        <w:rPr>
          <w:rFonts w:ascii="Times New Roman" w:hAnsi="Times New Roman" w:cs="Times New Roman"/>
          <w:sz w:val="28"/>
          <w:szCs w:val="28"/>
        </w:rPr>
        <w:t xml:space="preserve"> </w:t>
      </w:r>
      <w:r w:rsidR="00924626" w:rsidRPr="0091699C">
        <w:rPr>
          <w:rFonts w:ascii="Times New Roman" w:hAnsi="Times New Roman" w:cs="Times New Roman"/>
          <w:sz w:val="28"/>
          <w:szCs w:val="28"/>
        </w:rPr>
        <w:t>472,92</w:t>
      </w:r>
      <w:r w:rsidRPr="009169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69E" w:rsidRDefault="00C2569E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расходов </w:t>
      </w:r>
      <w:r w:rsidR="0091699C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9169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и </w:t>
      </w:r>
      <w:r w:rsidR="0091699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169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учета</w:t>
      </w:r>
      <w:r w:rsidR="0091699C">
        <w:rPr>
          <w:rFonts w:ascii="Times New Roman" w:hAnsi="Times New Roman" w:cs="Times New Roman"/>
          <w:sz w:val="28"/>
          <w:szCs w:val="28"/>
        </w:rPr>
        <w:t xml:space="preserve"> расходов, по которым главным распорядителем бюджетных средств являлся </w:t>
      </w:r>
      <w:r>
        <w:rPr>
          <w:rFonts w:ascii="Times New Roman" w:hAnsi="Times New Roman" w:cs="Times New Roman"/>
          <w:sz w:val="28"/>
          <w:szCs w:val="28"/>
        </w:rPr>
        <w:t xml:space="preserve"> Комитет по связи и информатизации</w:t>
      </w:r>
      <w:r w:rsidR="00916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6">
        <w:rPr>
          <w:rFonts w:ascii="Times New Roman" w:hAnsi="Times New Roman" w:cs="Times New Roman"/>
          <w:sz w:val="28"/>
          <w:szCs w:val="28"/>
        </w:rPr>
        <w:t>отображен</w:t>
      </w:r>
      <w:r w:rsidR="0091699C">
        <w:rPr>
          <w:rFonts w:ascii="Times New Roman" w:hAnsi="Times New Roman" w:cs="Times New Roman"/>
          <w:sz w:val="28"/>
          <w:szCs w:val="28"/>
        </w:rPr>
        <w:t>о на</w:t>
      </w:r>
      <w:r w:rsidR="00853CF6">
        <w:rPr>
          <w:rFonts w:ascii="Times New Roman" w:hAnsi="Times New Roman" w:cs="Times New Roman"/>
          <w:sz w:val="28"/>
          <w:szCs w:val="28"/>
        </w:rPr>
        <w:t xml:space="preserve"> диаграмме 3:</w:t>
      </w:r>
    </w:p>
    <w:p w:rsidR="00853CF6" w:rsidRDefault="00552BDA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6C95F3" wp14:editId="77C142DF">
            <wp:extent cx="494347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32A7" w:rsidRDefault="00BF32A7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большая доля расходов </w:t>
      </w:r>
      <w:r w:rsidR="00552B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DA">
        <w:rPr>
          <w:rFonts w:ascii="Times New Roman" w:hAnsi="Times New Roman" w:cs="Times New Roman"/>
          <w:sz w:val="28"/>
          <w:szCs w:val="28"/>
        </w:rPr>
        <w:t>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>. Закупки</w:t>
      </w:r>
      <w:r w:rsidR="0055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552B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552BDA">
        <w:rPr>
          <w:rFonts w:ascii="Times New Roman" w:hAnsi="Times New Roman" w:cs="Times New Roman"/>
          <w:sz w:val="28"/>
          <w:szCs w:val="28"/>
        </w:rPr>
        <w:t>преимущественно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создание, развитие и сопровождение ведомственных информационных систем.</w:t>
      </w:r>
    </w:p>
    <w:p w:rsidR="008C6368" w:rsidRDefault="008C6368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более чем на половину сократились </w:t>
      </w:r>
      <w:r w:rsidR="00552BD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на ИКТ Комитета государственного заказа Ленинградской области, Комитета по жилищно-коммунальному хозяйству Ленинградской области, Представительства Губернатора и Правительства Ленинградской области при Правительстве Российской Федерации. В несколько раз увеличились расходы Комитета по природным ресурсам Ленинградской области и Архивного управления Ленинградской области. Подробное описание динамики изменений содержится в приложении №2.</w:t>
      </w:r>
    </w:p>
    <w:p w:rsidR="00B47035" w:rsidRDefault="00B47035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органами исполнительной власти Ленинградской области мероприятий планов информатизации по сферам социально-экономической деятельности представлены ниже:</w:t>
      </w:r>
    </w:p>
    <w:p w:rsidR="00B47035" w:rsidRDefault="00B47035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BDA">
        <w:rPr>
          <w:rFonts w:ascii="Times New Roman" w:hAnsi="Times New Roman" w:cs="Times New Roman"/>
          <w:sz w:val="28"/>
          <w:szCs w:val="28"/>
        </w:rPr>
        <w:t>В наиболее значимой</w:t>
      </w:r>
      <w:r w:rsidRPr="00267068">
        <w:rPr>
          <w:rFonts w:ascii="Times New Roman" w:hAnsi="Times New Roman" w:cs="Times New Roman"/>
          <w:i/>
          <w:sz w:val="28"/>
          <w:szCs w:val="28"/>
        </w:rPr>
        <w:t xml:space="preserve">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ряд различных мероприятий</w:t>
      </w:r>
      <w:r w:rsidR="00267068">
        <w:rPr>
          <w:rFonts w:ascii="Times New Roman" w:hAnsi="Times New Roman" w:cs="Times New Roman"/>
          <w:sz w:val="28"/>
          <w:szCs w:val="28"/>
        </w:rPr>
        <w:t xml:space="preserve"> в отраслях здравоохранения и социальной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BDA" w:rsidRDefault="00B47035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более чем в 20 медицинских учреждениях произведена замена устаревшей и вышедшей из с</w:t>
      </w:r>
      <w:r w:rsidR="00267068">
        <w:rPr>
          <w:rFonts w:ascii="Times New Roman" w:hAnsi="Times New Roman" w:cs="Times New Roman"/>
          <w:sz w:val="28"/>
          <w:szCs w:val="28"/>
        </w:rPr>
        <w:t>троя техники.</w:t>
      </w:r>
      <w:r w:rsidR="00D74087">
        <w:rPr>
          <w:rFonts w:ascii="Times New Roman" w:hAnsi="Times New Roman" w:cs="Times New Roman"/>
          <w:sz w:val="28"/>
          <w:szCs w:val="28"/>
        </w:rPr>
        <w:t xml:space="preserve"> </w:t>
      </w:r>
      <w:r w:rsidR="00267068">
        <w:rPr>
          <w:rFonts w:ascii="Times New Roman" w:hAnsi="Times New Roman" w:cs="Times New Roman"/>
          <w:sz w:val="28"/>
          <w:szCs w:val="28"/>
        </w:rPr>
        <w:t>Ч</w:t>
      </w:r>
      <w:r w:rsidR="00D74087">
        <w:rPr>
          <w:rFonts w:ascii="Times New Roman" w:hAnsi="Times New Roman" w:cs="Times New Roman"/>
          <w:sz w:val="28"/>
          <w:szCs w:val="28"/>
        </w:rPr>
        <w:t>асть врач</w:t>
      </w:r>
      <w:r w:rsidR="00267068">
        <w:rPr>
          <w:rFonts w:ascii="Times New Roman" w:hAnsi="Times New Roman" w:cs="Times New Roman"/>
          <w:sz w:val="28"/>
          <w:szCs w:val="28"/>
        </w:rPr>
        <w:t>ей получила электронные подписи.</w:t>
      </w:r>
    </w:p>
    <w:p w:rsidR="00B47035" w:rsidRDefault="00D74087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областной клинической больнице введен</w:t>
      </w:r>
      <w:r w:rsidR="00552B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новая медицинская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qMS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помощью которой в больнице запущена лабораторно-исследовательская система, в которой врачи непосредственно работают с данными</w:t>
      </w:r>
      <w:r w:rsidR="00DF7E70">
        <w:rPr>
          <w:rFonts w:ascii="Times New Roman" w:hAnsi="Times New Roman" w:cs="Times New Roman"/>
          <w:sz w:val="28"/>
          <w:szCs w:val="28"/>
        </w:rPr>
        <w:t xml:space="preserve"> исследований, а также планируется выгрузка различных статистических отчетов. Обеспечены услуги связи, позволяющие всем отделениям эффективно функционировать. </w:t>
      </w:r>
      <w:r w:rsidR="00552BDA">
        <w:rPr>
          <w:rFonts w:ascii="Times New Roman" w:hAnsi="Times New Roman" w:cs="Times New Roman"/>
          <w:sz w:val="28"/>
          <w:szCs w:val="28"/>
        </w:rPr>
        <w:t>На</w:t>
      </w:r>
      <w:r w:rsidR="00267068">
        <w:rPr>
          <w:rFonts w:ascii="Times New Roman" w:hAnsi="Times New Roman" w:cs="Times New Roman"/>
          <w:sz w:val="28"/>
          <w:szCs w:val="28"/>
        </w:rPr>
        <w:t>пример</w:t>
      </w:r>
      <w:r w:rsidR="00DF7E70">
        <w:rPr>
          <w:rFonts w:ascii="Times New Roman" w:hAnsi="Times New Roman" w:cs="Times New Roman"/>
          <w:sz w:val="28"/>
          <w:szCs w:val="28"/>
        </w:rPr>
        <w:t xml:space="preserve">, головным противотуберкулезным центром осуществляется в режиме </w:t>
      </w:r>
      <w:r w:rsidR="00DF7E7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F7E70" w:rsidRPr="00DF7E70">
        <w:rPr>
          <w:rFonts w:ascii="Times New Roman" w:hAnsi="Times New Roman" w:cs="Times New Roman"/>
          <w:sz w:val="28"/>
          <w:szCs w:val="28"/>
        </w:rPr>
        <w:t xml:space="preserve"> </w:t>
      </w:r>
      <w:r w:rsidR="00DF7E70"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267068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DF7E70">
        <w:rPr>
          <w:rFonts w:ascii="Times New Roman" w:hAnsi="Times New Roman" w:cs="Times New Roman"/>
          <w:sz w:val="28"/>
          <w:szCs w:val="28"/>
        </w:rPr>
        <w:t xml:space="preserve"> Ленинградской области, где оказывается первичная </w:t>
      </w:r>
      <w:proofErr w:type="gramStart"/>
      <w:r w:rsidR="00DF7E70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="00DF7E70">
        <w:rPr>
          <w:rFonts w:ascii="Times New Roman" w:hAnsi="Times New Roman" w:cs="Times New Roman"/>
          <w:sz w:val="28"/>
          <w:szCs w:val="28"/>
        </w:rPr>
        <w:t xml:space="preserve"> специализированная помощь по профилю «Фтизиатрия» врачами-фтизиатрами на местах.</w:t>
      </w:r>
    </w:p>
    <w:p w:rsidR="001F27B0" w:rsidRPr="00501690" w:rsidRDefault="00DD1ACB" w:rsidP="0004683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83D">
        <w:rPr>
          <w:rFonts w:ascii="Times New Roman" w:hAnsi="Times New Roman" w:cs="Times New Roman"/>
          <w:sz w:val="28"/>
          <w:szCs w:val="28"/>
        </w:rPr>
        <w:t>едомством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1F27B0">
        <w:rPr>
          <w:rFonts w:ascii="Times New Roman" w:hAnsi="Times New Roman" w:cs="Times New Roman"/>
          <w:sz w:val="28"/>
          <w:szCs w:val="28"/>
        </w:rPr>
        <w:t xml:space="preserve">проведены работы по развитию и сопровождению государственных информационных систем </w:t>
      </w:r>
      <w:r w:rsidR="001F27B0" w:rsidRPr="00501690">
        <w:rPr>
          <w:rFonts w:ascii="Times New Roman" w:hAnsi="Times New Roman" w:cs="Times New Roman"/>
          <w:sz w:val="28"/>
          <w:szCs w:val="28"/>
        </w:rPr>
        <w:t>«Социальные услуги Ленинградской области» (далее – АИС «</w:t>
      </w:r>
      <w:proofErr w:type="spellStart"/>
      <w:r w:rsidR="001F27B0" w:rsidRPr="00501690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="001F27B0" w:rsidRPr="00501690">
        <w:rPr>
          <w:rFonts w:ascii="Times New Roman" w:hAnsi="Times New Roman" w:cs="Times New Roman"/>
          <w:sz w:val="28"/>
          <w:szCs w:val="28"/>
        </w:rPr>
        <w:t>») и «Единой региональной автоматизированной информационная системы «Социальная защита Ленинградской области» (далее – АИС «Соцзащита»).</w:t>
      </w:r>
    </w:p>
    <w:p w:rsidR="001F27B0" w:rsidRPr="00B306D4" w:rsidRDefault="001F27B0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6D4">
        <w:rPr>
          <w:rFonts w:ascii="Times New Roman" w:hAnsi="Times New Roman" w:cs="Times New Roman"/>
          <w:sz w:val="28"/>
          <w:szCs w:val="28"/>
        </w:rPr>
        <w:t>С целью перехода на единую информационную систему, объединяющую функциональные возможности АИС «Соцзащита» и АИС «</w:t>
      </w:r>
      <w:proofErr w:type="spellStart"/>
      <w:r w:rsidRPr="00B306D4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B306D4">
        <w:rPr>
          <w:rFonts w:ascii="Times New Roman" w:hAnsi="Times New Roman" w:cs="Times New Roman"/>
          <w:sz w:val="28"/>
          <w:szCs w:val="28"/>
        </w:rPr>
        <w:t>»,  для обеспечения деятельности органов социальной защиты на территории Ленинградской области в декабре 2018 года приобретена лицензия на право использования информационной системы «ПК Катарсис Соцзащита»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90" w:rsidRDefault="001F27B0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6D4">
        <w:rPr>
          <w:rFonts w:ascii="Times New Roman" w:hAnsi="Times New Roman" w:cs="Times New Roman"/>
          <w:sz w:val="28"/>
          <w:szCs w:val="28"/>
        </w:rPr>
        <w:t xml:space="preserve">Проводимые мероприятия </w:t>
      </w:r>
      <w:proofErr w:type="gramStart"/>
      <w:r w:rsidRPr="00B306D4">
        <w:rPr>
          <w:rFonts w:ascii="Times New Roman" w:hAnsi="Times New Roman" w:cs="Times New Roman"/>
          <w:sz w:val="28"/>
          <w:szCs w:val="28"/>
        </w:rPr>
        <w:t>позволили достигнуть</w:t>
      </w:r>
      <w:proofErr w:type="gramEnd"/>
      <w:r w:rsidRPr="00B306D4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52BDA">
        <w:rPr>
          <w:rFonts w:ascii="Times New Roman" w:hAnsi="Times New Roman" w:cs="Times New Roman"/>
          <w:sz w:val="28"/>
          <w:szCs w:val="28"/>
        </w:rPr>
        <w:t>ое значение</w:t>
      </w:r>
      <w:r w:rsidRPr="00B306D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52BDA">
        <w:rPr>
          <w:rFonts w:ascii="Times New Roman" w:hAnsi="Times New Roman" w:cs="Times New Roman"/>
          <w:sz w:val="28"/>
          <w:szCs w:val="28"/>
        </w:rPr>
        <w:t>я</w:t>
      </w:r>
      <w:r w:rsidRPr="00B306D4">
        <w:rPr>
          <w:rFonts w:ascii="Times New Roman" w:hAnsi="Times New Roman" w:cs="Times New Roman"/>
          <w:sz w:val="28"/>
          <w:szCs w:val="28"/>
        </w:rPr>
        <w:t xml:space="preserve"> </w:t>
      </w:r>
      <w:r w:rsidR="00552BDA">
        <w:rPr>
          <w:rFonts w:ascii="Times New Roman" w:hAnsi="Times New Roman" w:cs="Times New Roman"/>
          <w:sz w:val="28"/>
          <w:szCs w:val="28"/>
        </w:rPr>
        <w:t xml:space="preserve"> </w:t>
      </w:r>
      <w:r w:rsidRPr="00501690">
        <w:rPr>
          <w:rFonts w:ascii="Times New Roman" w:hAnsi="Times New Roman" w:cs="Times New Roman"/>
          <w:sz w:val="28"/>
          <w:szCs w:val="28"/>
        </w:rPr>
        <w:t>«Доля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</w:t>
      </w:r>
      <w:r w:rsidR="00552BDA">
        <w:rPr>
          <w:rFonts w:ascii="Times New Roman" w:hAnsi="Times New Roman" w:cs="Times New Roman"/>
          <w:sz w:val="28"/>
          <w:szCs w:val="28"/>
        </w:rPr>
        <w:t xml:space="preserve"> - 70 %.</w:t>
      </w:r>
    </w:p>
    <w:p w:rsidR="00552BDA" w:rsidRDefault="00552BDA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ACB" w:rsidRDefault="00DD1ACB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68">
        <w:rPr>
          <w:rFonts w:ascii="Times New Roman" w:hAnsi="Times New Roman" w:cs="Times New Roman"/>
          <w:i/>
          <w:sz w:val="28"/>
          <w:szCs w:val="28"/>
        </w:rPr>
        <w:t>В сфере экономи</w:t>
      </w:r>
      <w:r>
        <w:rPr>
          <w:rFonts w:ascii="Times New Roman" w:hAnsi="Times New Roman" w:cs="Times New Roman"/>
          <w:sz w:val="28"/>
          <w:szCs w:val="28"/>
        </w:rPr>
        <w:t xml:space="preserve">ки: </w:t>
      </w:r>
      <w:r w:rsidRPr="00DD1ACB">
        <w:rPr>
          <w:rFonts w:ascii="Times New Roman" w:hAnsi="Times New Roman" w:cs="Times New Roman"/>
          <w:sz w:val="28"/>
          <w:szCs w:val="28"/>
        </w:rPr>
        <w:t>подведомственным комитету по развитию малого, среднего бизнеса и потребительского рынка Ленинградской области учреждением – государственным казенным учреждением Ленинградской области «Ленинградский областной центр поддержки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мониторинг социально-экономического развития муниципальных образований Ленинградской области. Он позволил провести анализ состояния малых, средних предприятий в муниципальных образованиях, динамику их развития с целью использования данных для разработки муниципальных программ социально-экономического развития и программ поддержки малого и среднего предпринимательства (далее - МСП).</w:t>
      </w:r>
    </w:p>
    <w:p w:rsidR="00DD1ACB" w:rsidRDefault="00DD1ACB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информационной кампании были проведены такие мероприятия как модернизация, сопровождение и продвижение сайта</w:t>
      </w:r>
      <w:r w:rsidR="00267068">
        <w:rPr>
          <w:rFonts w:ascii="Times New Roman" w:hAnsi="Times New Roman" w:cs="Times New Roman"/>
          <w:sz w:val="28"/>
          <w:szCs w:val="28"/>
        </w:rPr>
        <w:t xml:space="preserve"> Фонда поддержки предпринимательства Ленинградской области </w:t>
      </w:r>
      <w:r w:rsidR="00267068" w:rsidRPr="00267068">
        <w:rPr>
          <w:rFonts w:ascii="Times New Roman" w:hAnsi="Times New Roman" w:cs="Times New Roman"/>
          <w:sz w:val="28"/>
          <w:szCs w:val="28"/>
        </w:rPr>
        <w:t>http://www.813.ru/</w:t>
      </w:r>
      <w:r>
        <w:rPr>
          <w:rFonts w:ascii="Times New Roman" w:hAnsi="Times New Roman" w:cs="Times New Roman"/>
          <w:sz w:val="28"/>
          <w:szCs w:val="28"/>
        </w:rPr>
        <w:t>, услуги хостинга, разработка электронного каталога, разработка дополнительных сервисов, обеспечение технической поддержки информационного ресурса о товарах и услугах  предприятий малого и среднего бизнеса Ленинградской области, что способствовало увеличению количества субъектов МСП в регионе росту общего объема оборота МСП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BDA">
        <w:rPr>
          <w:rFonts w:ascii="Times New Roman" w:hAnsi="Times New Roman" w:cs="Times New Roman"/>
          <w:sz w:val="28"/>
          <w:szCs w:val="28"/>
        </w:rPr>
        <w:t>П</w:t>
      </w:r>
      <w:r w:rsidR="00552BDA" w:rsidRPr="00552BDA">
        <w:rPr>
          <w:rFonts w:ascii="Times New Roman" w:hAnsi="Times New Roman" w:cs="Times New Roman"/>
          <w:sz w:val="28"/>
          <w:szCs w:val="28"/>
        </w:rPr>
        <w:t xml:space="preserve">о сравнению с уровнем 2017 года </w:t>
      </w:r>
      <w:r>
        <w:rPr>
          <w:rFonts w:ascii="Times New Roman" w:hAnsi="Times New Roman" w:cs="Times New Roman"/>
          <w:sz w:val="28"/>
          <w:szCs w:val="28"/>
        </w:rPr>
        <w:t>в 2018 году количество субъектов МСП увеличилось на 4200.</w:t>
      </w:r>
    </w:p>
    <w:p w:rsidR="00DD1ACB" w:rsidRPr="00DD1ACB" w:rsidRDefault="00DD1ACB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CB">
        <w:rPr>
          <w:rFonts w:ascii="Times New Roman" w:hAnsi="Times New Roman" w:cs="Times New Roman"/>
          <w:sz w:val="28"/>
          <w:szCs w:val="28"/>
        </w:rPr>
        <w:t xml:space="preserve">Внедрение автоматизированной информационной системы расчета по субсидиям, предоставляемым субъектам МСП, а также учета консультаций, которые предоставляются субъектам МСП Ленинградским областным центром поддержки предпринимательства и организациями муниципальной инфраструктуры поддержки, действующими на территории Ленинградской области способствовали автоматизации расчета субсидий, процесса приема и обработки документов, приема документов в электронном виде, а также учета консультаций и стандартизации процесса консультирования. </w:t>
      </w:r>
      <w:proofErr w:type="gramEnd"/>
    </w:p>
    <w:p w:rsidR="00DD1ACB" w:rsidRPr="00DD1ACB" w:rsidRDefault="00DD1ACB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ACB">
        <w:rPr>
          <w:rFonts w:ascii="Times New Roman" w:hAnsi="Times New Roman" w:cs="Times New Roman"/>
          <w:sz w:val="28"/>
          <w:szCs w:val="28"/>
        </w:rPr>
        <w:t>Государственное казенное учреждение ”Центр занятости н</w:t>
      </w:r>
      <w:r w:rsidR="00552BDA">
        <w:rPr>
          <w:rFonts w:ascii="Times New Roman" w:hAnsi="Times New Roman" w:cs="Times New Roman"/>
          <w:sz w:val="28"/>
          <w:szCs w:val="28"/>
        </w:rPr>
        <w:t>аселения Ленинградской области”</w:t>
      </w:r>
      <w:r w:rsidRPr="00DD1ACB">
        <w:rPr>
          <w:rFonts w:ascii="Times New Roman" w:hAnsi="Times New Roman" w:cs="Times New Roman"/>
          <w:sz w:val="28"/>
          <w:szCs w:val="28"/>
        </w:rPr>
        <w:t xml:space="preserve"> помимо обновления компьютерной техники, для повышения комфортности предоставления государственных услуг приобрело настенные</w:t>
      </w:r>
      <w:r w:rsidR="00267068" w:rsidRPr="00267068">
        <w:rPr>
          <w:rFonts w:ascii="Times New Roman" w:hAnsi="Times New Roman" w:cs="Times New Roman"/>
          <w:sz w:val="28"/>
          <w:szCs w:val="28"/>
        </w:rPr>
        <w:t xml:space="preserve"> электронные табло</w:t>
      </w:r>
      <w:r w:rsidR="00267068">
        <w:rPr>
          <w:rFonts w:ascii="Times New Roman" w:hAnsi="Times New Roman" w:cs="Times New Roman"/>
          <w:sz w:val="28"/>
          <w:szCs w:val="28"/>
        </w:rPr>
        <w:t xml:space="preserve"> и</w:t>
      </w:r>
      <w:r w:rsidRPr="00DD1ACB">
        <w:rPr>
          <w:rFonts w:ascii="Times New Roman" w:hAnsi="Times New Roman" w:cs="Times New Roman"/>
          <w:sz w:val="28"/>
          <w:szCs w:val="28"/>
        </w:rPr>
        <w:t xml:space="preserve"> зарядные станции для электронной очереди, МФУ и ноутбуки для оснащения мобильных бирж труда (автомобилей). </w:t>
      </w:r>
    </w:p>
    <w:p w:rsidR="00DD1ACB" w:rsidRPr="00DD1ACB" w:rsidRDefault="00DD1ACB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ACB">
        <w:rPr>
          <w:rFonts w:ascii="Times New Roman" w:hAnsi="Times New Roman" w:cs="Times New Roman"/>
          <w:sz w:val="28"/>
          <w:szCs w:val="28"/>
        </w:rPr>
        <w:t xml:space="preserve">Закупка программного аппаратного комплекса и гарнитур </w:t>
      </w:r>
      <w:r w:rsidRPr="00DD1AC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D1ACB">
        <w:rPr>
          <w:rFonts w:ascii="Times New Roman" w:hAnsi="Times New Roman" w:cs="Times New Roman"/>
          <w:sz w:val="28"/>
          <w:szCs w:val="28"/>
        </w:rPr>
        <w:t xml:space="preserve"> – телефонии для отдела </w:t>
      </w:r>
      <w:proofErr w:type="gramStart"/>
      <w:r w:rsidRPr="00DD1ACB">
        <w:rPr>
          <w:rFonts w:ascii="Times New Roman" w:hAnsi="Times New Roman" w:cs="Times New Roman"/>
          <w:sz w:val="28"/>
          <w:szCs w:val="28"/>
        </w:rPr>
        <w:t>контроля качества предоставления государственных услуг биржи</w:t>
      </w:r>
      <w:proofErr w:type="gramEnd"/>
      <w:r w:rsidRPr="00DD1ACB">
        <w:rPr>
          <w:rFonts w:ascii="Times New Roman" w:hAnsi="Times New Roman" w:cs="Times New Roman"/>
          <w:sz w:val="28"/>
          <w:szCs w:val="28"/>
        </w:rPr>
        <w:t xml:space="preserve"> труда, позволила контролировать работу сотрудников филиалов в режиме реального времени, что значительно повысило уровень обслуживания и качество взаимодействия с клиентами. Также, для повышения </w:t>
      </w:r>
      <w:proofErr w:type="spellStart"/>
      <w:r w:rsidRPr="00DD1ACB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DD1ACB">
        <w:rPr>
          <w:rFonts w:ascii="Times New Roman" w:hAnsi="Times New Roman" w:cs="Times New Roman"/>
          <w:sz w:val="28"/>
          <w:szCs w:val="28"/>
        </w:rPr>
        <w:t xml:space="preserve"> сотрудников биржи труда и оперативного обслуживания соискателей и работодателей были приобретены планшетные компьютеры. </w:t>
      </w:r>
    </w:p>
    <w:p w:rsidR="00552BDA" w:rsidRDefault="00557047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068">
        <w:rPr>
          <w:rFonts w:ascii="Times New Roman" w:hAnsi="Times New Roman" w:cs="Times New Roman"/>
          <w:i/>
          <w:sz w:val="28"/>
          <w:szCs w:val="28"/>
        </w:rPr>
        <w:t>В сфере энергетики и ЖКХ</w:t>
      </w:r>
      <w:r w:rsidR="002670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67068" w:rsidRPr="00267068">
        <w:rPr>
          <w:rFonts w:ascii="Times New Roman" w:hAnsi="Times New Roman" w:cs="Times New Roman"/>
          <w:sz w:val="28"/>
          <w:szCs w:val="28"/>
        </w:rPr>
        <w:t>выполнены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95" w:rsidRPr="008D3095">
        <w:rPr>
          <w:rFonts w:ascii="Times New Roman" w:hAnsi="Times New Roman" w:cs="Times New Roman"/>
          <w:sz w:val="28"/>
          <w:szCs w:val="28"/>
        </w:rPr>
        <w:t>развитию региональной государственной информационной системы в области энергосбережения и повышения энергетической эффективности в Ленинградской области</w:t>
      </w:r>
      <w:r w:rsidR="008D3095">
        <w:rPr>
          <w:rFonts w:ascii="Times New Roman" w:hAnsi="Times New Roman" w:cs="Times New Roman"/>
          <w:sz w:val="28"/>
          <w:szCs w:val="28"/>
        </w:rPr>
        <w:t xml:space="preserve">, используемой органами исполнительной власти, органами местного самоуправления, учреждениями, являющимися участниками процесса повышения энергетической эффективности. </w:t>
      </w:r>
      <w:r w:rsidR="0059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35" w:rsidRDefault="00552BDA" w:rsidP="000468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EEF">
        <w:rPr>
          <w:rFonts w:ascii="Times New Roman" w:hAnsi="Times New Roman" w:cs="Times New Roman"/>
          <w:sz w:val="28"/>
          <w:szCs w:val="28"/>
        </w:rPr>
        <w:t xml:space="preserve">беспечена работа службы </w:t>
      </w:r>
      <w:r w:rsidR="00593EEF" w:rsidRPr="00593EEF">
        <w:rPr>
          <w:rFonts w:ascii="Times New Roman" w:hAnsi="Times New Roman" w:cs="Times New Roman"/>
          <w:sz w:val="28"/>
          <w:szCs w:val="28"/>
        </w:rPr>
        <w:t xml:space="preserve">технической поддержки региональной государственной информационной системы жилищно-коммунального хозяйства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(РГИС ЖКХ) </w:t>
      </w:r>
      <w:r w:rsidR="00593EEF" w:rsidRPr="00593EEF">
        <w:rPr>
          <w:rFonts w:ascii="Times New Roman" w:hAnsi="Times New Roman" w:cs="Times New Roman"/>
          <w:sz w:val="28"/>
          <w:szCs w:val="28"/>
        </w:rPr>
        <w:t>с целью ее бесперебойной работы.</w:t>
      </w:r>
      <w:r w:rsidR="0059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EF" w:rsidRPr="00593EEF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EEF">
        <w:rPr>
          <w:rFonts w:ascii="Times New Roman" w:hAnsi="Times New Roman" w:cs="Times New Roman"/>
          <w:i/>
          <w:sz w:val="28"/>
          <w:szCs w:val="28"/>
        </w:rPr>
        <w:t>В сфере внутренней политики</w:t>
      </w:r>
      <w:r w:rsidRPr="00593EEF">
        <w:rPr>
          <w:rFonts w:ascii="Times New Roman" w:hAnsi="Times New Roman" w:cs="Times New Roman"/>
          <w:sz w:val="28"/>
          <w:szCs w:val="28"/>
        </w:rPr>
        <w:t xml:space="preserve"> в 2018 году проводились работы </w:t>
      </w:r>
      <w:r w:rsidR="00BD448E">
        <w:rPr>
          <w:rFonts w:ascii="Times New Roman" w:hAnsi="Times New Roman" w:cs="Times New Roman"/>
          <w:sz w:val="28"/>
          <w:szCs w:val="28"/>
        </w:rPr>
        <w:t>по</w:t>
      </w:r>
      <w:r w:rsidRPr="00593EE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D448E">
        <w:rPr>
          <w:rFonts w:ascii="Times New Roman" w:hAnsi="Times New Roman" w:cs="Times New Roman"/>
          <w:sz w:val="28"/>
          <w:szCs w:val="28"/>
        </w:rPr>
        <w:t>ю</w:t>
      </w:r>
      <w:r w:rsidRPr="00593EEF">
        <w:rPr>
          <w:rFonts w:ascii="Times New Roman" w:hAnsi="Times New Roman" w:cs="Times New Roman"/>
          <w:sz w:val="28"/>
          <w:szCs w:val="28"/>
        </w:rPr>
        <w:t xml:space="preserve"> информационной среды, </w:t>
      </w:r>
      <w:r w:rsidR="00BD448E">
        <w:rPr>
          <w:rFonts w:ascii="Times New Roman" w:hAnsi="Times New Roman" w:cs="Times New Roman"/>
          <w:sz w:val="28"/>
          <w:szCs w:val="28"/>
        </w:rPr>
        <w:t xml:space="preserve">направленной на </w:t>
      </w:r>
      <w:r w:rsidRPr="00593EEF">
        <w:rPr>
          <w:rFonts w:ascii="Times New Roman" w:hAnsi="Times New Roman" w:cs="Times New Roman"/>
          <w:sz w:val="28"/>
          <w:szCs w:val="28"/>
        </w:rPr>
        <w:t>гармонизаци</w:t>
      </w:r>
      <w:r w:rsidR="00BD448E">
        <w:rPr>
          <w:rFonts w:ascii="Times New Roman" w:hAnsi="Times New Roman" w:cs="Times New Roman"/>
          <w:sz w:val="28"/>
          <w:szCs w:val="28"/>
        </w:rPr>
        <w:t>ю</w:t>
      </w:r>
      <w:r w:rsidRPr="00593EEF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межконфессиональных отношений, национально-культурного взаимодействия представителей различных  национальностей и конфессий, представленных на территории Ленинградской области.</w:t>
      </w:r>
    </w:p>
    <w:p w:rsidR="00593EEF" w:rsidRPr="00593EEF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EEF">
        <w:rPr>
          <w:rFonts w:ascii="Times New Roman" w:hAnsi="Times New Roman" w:cs="Times New Roman"/>
          <w:sz w:val="28"/>
          <w:szCs w:val="28"/>
        </w:rPr>
        <w:t xml:space="preserve">В комитете по местному самоуправлению, межнациональным и межконфессиональным отношениям Ленинградской области внедрена информационно-аналитическая система управления субсидиями (ИАС «Управление субсидиями»). ИАС «Управление субсидиями» </w:t>
      </w:r>
      <w:proofErr w:type="gramStart"/>
      <w:r w:rsidRPr="00593EEF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593EEF">
        <w:rPr>
          <w:rFonts w:ascii="Times New Roman" w:hAnsi="Times New Roman" w:cs="Times New Roman"/>
          <w:sz w:val="28"/>
          <w:szCs w:val="28"/>
        </w:rPr>
        <w:t xml:space="preserve"> на рабочих местах сотрудников Комитета по местному самоуправлению, межнациональным и межконфессиональным отношениям Ленинградской области и в 17 муниципальных районах Ленинградской области   </w:t>
      </w:r>
      <w:r w:rsidRPr="00593EEF">
        <w:rPr>
          <w:rFonts w:ascii="Times New Roman" w:hAnsi="Times New Roman" w:cs="Times New Roman"/>
          <w:sz w:val="28"/>
          <w:szCs w:val="28"/>
        </w:rPr>
        <w:br/>
        <w:t xml:space="preserve">(в 217 администрациях муниципальных образований Ленинградской области). С помощью ИАС "Управление субсидиями" планируется осуществлять сбор и обработку первичной информации от муниципальных образований Ленинградской области, автоматизацию информационно – аналитических функций.  </w:t>
      </w:r>
    </w:p>
    <w:p w:rsidR="00593EEF" w:rsidRPr="00834F6C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EEF">
        <w:rPr>
          <w:rFonts w:ascii="Times New Roman" w:hAnsi="Times New Roman" w:cs="Times New Roman"/>
          <w:sz w:val="28"/>
          <w:szCs w:val="28"/>
        </w:rPr>
        <w:t>Кроме того,  в 2018 году создано мобильное приложение для трудовых мигрантов и членов их семей «Добро пожаловать в Ленинградскую область!»</w:t>
      </w:r>
      <w:r w:rsidR="00BD448E">
        <w:rPr>
          <w:rFonts w:ascii="Times New Roman" w:hAnsi="Times New Roman" w:cs="Times New Roman"/>
          <w:sz w:val="28"/>
          <w:szCs w:val="28"/>
        </w:rPr>
        <w:t xml:space="preserve">. </w:t>
      </w:r>
      <w:r w:rsidRPr="00593EEF">
        <w:rPr>
          <w:rFonts w:ascii="Times New Roman" w:hAnsi="Times New Roman" w:cs="Times New Roman"/>
          <w:sz w:val="28"/>
          <w:szCs w:val="28"/>
        </w:rPr>
        <w:t xml:space="preserve">Приложение предназначено  для максимального охвата целевой взрослой аудитории -  трудовых мигрантов и членов их семей,  способствует </w:t>
      </w:r>
      <w:r w:rsidRPr="00834F6C">
        <w:rPr>
          <w:rFonts w:ascii="Times New Roman" w:hAnsi="Times New Roman" w:cs="Times New Roman"/>
          <w:sz w:val="28"/>
          <w:szCs w:val="28"/>
        </w:rPr>
        <w:t xml:space="preserve">улучшению взаимодействия и обмена информацией между профильными органами власти и мигрантами. Оснащено системой динамического управления его наполнением, что служит платформой для помощи мигрантам и получения ими полезной информации, доступно на трех языках: русском, узбекском и таджикском, является бесплатным для скачивания в </w:t>
      </w:r>
      <w:r w:rsidRPr="00834F6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4F6C">
        <w:rPr>
          <w:rFonts w:ascii="Times New Roman" w:hAnsi="Times New Roman" w:cs="Times New Roman"/>
          <w:sz w:val="28"/>
          <w:szCs w:val="28"/>
        </w:rPr>
        <w:t xml:space="preserve"> </w:t>
      </w:r>
      <w:r w:rsidRPr="00834F6C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834F6C">
        <w:rPr>
          <w:rFonts w:ascii="Times New Roman" w:hAnsi="Times New Roman" w:cs="Times New Roman"/>
          <w:sz w:val="28"/>
          <w:szCs w:val="28"/>
        </w:rPr>
        <w:t>, в том числе для мобильных сре</w:t>
      </w:r>
      <w:proofErr w:type="gramStart"/>
      <w:r w:rsidRPr="00834F6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34F6C">
        <w:rPr>
          <w:rFonts w:ascii="Times New Roman" w:hAnsi="Times New Roman" w:cs="Times New Roman"/>
          <w:sz w:val="28"/>
          <w:szCs w:val="28"/>
        </w:rPr>
        <w:t>язи.</w:t>
      </w:r>
    </w:p>
    <w:p w:rsidR="00593EEF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F6C">
        <w:rPr>
          <w:rFonts w:ascii="Times New Roman" w:hAnsi="Times New Roman" w:cs="Times New Roman"/>
          <w:sz w:val="28"/>
          <w:szCs w:val="28"/>
        </w:rPr>
        <w:t xml:space="preserve">Данное приложение функционирует с ноября 2018 года, и является   востребованным информационным ресурсом для мигрантов, содержащим изложенную в легкой для понимания форме основную информацию и практические рекомендации, охватывающие все этапы процесса миграции в Ленинградскую область: </w:t>
      </w:r>
      <w:proofErr w:type="spellStart"/>
      <w:r w:rsidRPr="00834F6C">
        <w:rPr>
          <w:rFonts w:ascii="Times New Roman" w:hAnsi="Times New Roman" w:cs="Times New Roman"/>
          <w:sz w:val="28"/>
          <w:szCs w:val="28"/>
        </w:rPr>
        <w:t>предвыездную</w:t>
      </w:r>
      <w:proofErr w:type="spellEnd"/>
      <w:r w:rsidRPr="00834F6C">
        <w:rPr>
          <w:rFonts w:ascii="Times New Roman" w:hAnsi="Times New Roman" w:cs="Times New Roman"/>
          <w:sz w:val="28"/>
          <w:szCs w:val="28"/>
        </w:rPr>
        <w:t xml:space="preserve"> подготовку, оформление документов, трудоустройство, жизнь в обществе, а также сведения о механизмах получения бесплатной помощи, социальной  и правовой поддержки.</w:t>
      </w:r>
      <w:proofErr w:type="gramEnd"/>
    </w:p>
    <w:p w:rsidR="00552BDA" w:rsidRDefault="00552BDA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6C">
        <w:rPr>
          <w:rFonts w:ascii="Times New Roman" w:hAnsi="Times New Roman" w:cs="Times New Roman"/>
          <w:sz w:val="28"/>
          <w:szCs w:val="28"/>
        </w:rPr>
        <w:t xml:space="preserve">В рамках проведения информационно-разъяснительных мероприятий по формированию </w:t>
      </w:r>
      <w:r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«электронного правительства», оказанию электронных государственных и муниципальных услуг в Ленинградской области </w:t>
      </w:r>
      <w:r w:rsidR="0004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заказу Комитета по печати и связям с общественностью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4F6C">
        <w:rPr>
          <w:rFonts w:ascii="Times New Roman" w:hAnsi="Times New Roman" w:cs="Times New Roman"/>
          <w:sz w:val="28"/>
          <w:szCs w:val="28"/>
        </w:rPr>
        <w:t>казаны услуги по распространению информационно-разъяснительных материалов, направленных на популяризацию получения в Ленинградской области государственных и муниципальных услуг в электронном виде в зонах публичного доступа к се</w:t>
      </w:r>
      <w:r w:rsidR="00036742">
        <w:rPr>
          <w:rFonts w:ascii="Times New Roman" w:hAnsi="Times New Roman" w:cs="Times New Roman"/>
          <w:sz w:val="28"/>
          <w:szCs w:val="28"/>
        </w:rPr>
        <w:t xml:space="preserve">ти «Интернет» по технологии </w:t>
      </w:r>
      <w:proofErr w:type="spellStart"/>
      <w:r w:rsidR="00036742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036742">
        <w:rPr>
          <w:rFonts w:ascii="Times New Roman" w:hAnsi="Times New Roman" w:cs="Times New Roman"/>
          <w:sz w:val="28"/>
          <w:szCs w:val="28"/>
        </w:rPr>
        <w:t>-</w:t>
      </w:r>
      <w:r w:rsidR="000367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4F6C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End"/>
    </w:p>
    <w:p w:rsidR="00552BDA" w:rsidRPr="00834F6C" w:rsidRDefault="00552BDA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>Также оказаны услуги по организации изготовления и распространения информационно-разъяснительных материалов (государственные и муниципальные услуги в электронном виде) в электропоездах, курсирующих на территории Ленинградской области,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F6C">
        <w:rPr>
          <w:rFonts w:ascii="Times New Roman" w:hAnsi="Times New Roman" w:cs="Times New Roman"/>
          <w:sz w:val="28"/>
          <w:szCs w:val="28"/>
        </w:rPr>
        <w:t xml:space="preserve">Оказаны услуги по информированию населения Ленинградской области о государственных услугах в электронном виде для работодателей </w:t>
      </w:r>
      <w:r w:rsidRPr="00834F6C">
        <w:rPr>
          <w:rFonts w:ascii="Times New Roman" w:hAnsi="Times New Roman" w:cs="Times New Roman"/>
          <w:sz w:val="28"/>
          <w:szCs w:val="28"/>
        </w:rPr>
        <w:br/>
        <w:t>и соискателей. Кроме того, оказаны услуги по организации распространения информационного видеоролика, направленного на популяризацию получения в Ленинградской области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в электронной форме.</w:t>
      </w:r>
    </w:p>
    <w:p w:rsidR="00593EEF" w:rsidRPr="00834F6C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 xml:space="preserve">Наибольшее количество мероприятий, реализованных в 2018 году, было </w:t>
      </w:r>
      <w:r w:rsidR="00BD448E">
        <w:rPr>
          <w:rFonts w:ascii="Times New Roman" w:hAnsi="Times New Roman" w:cs="Times New Roman"/>
          <w:sz w:val="28"/>
          <w:szCs w:val="28"/>
        </w:rPr>
        <w:t>выполнено</w:t>
      </w:r>
      <w:r w:rsidRPr="00834F6C">
        <w:rPr>
          <w:rFonts w:ascii="Times New Roman" w:hAnsi="Times New Roman" w:cs="Times New Roman"/>
          <w:sz w:val="28"/>
          <w:szCs w:val="28"/>
        </w:rPr>
        <w:t xml:space="preserve"> </w:t>
      </w:r>
      <w:r w:rsidRPr="00BD448E">
        <w:rPr>
          <w:rFonts w:ascii="Times New Roman" w:hAnsi="Times New Roman" w:cs="Times New Roman"/>
          <w:i/>
          <w:sz w:val="28"/>
          <w:szCs w:val="28"/>
        </w:rPr>
        <w:t xml:space="preserve">Комитетом по связи и информатизации </w:t>
      </w:r>
      <w:r w:rsidR="00BD448E" w:rsidRPr="00BD448E">
        <w:rPr>
          <w:rFonts w:ascii="Times New Roman" w:hAnsi="Times New Roman" w:cs="Times New Roman"/>
          <w:i/>
          <w:sz w:val="28"/>
          <w:szCs w:val="28"/>
        </w:rPr>
        <w:t>Л</w:t>
      </w:r>
      <w:r w:rsidRPr="00BD448E">
        <w:rPr>
          <w:rFonts w:ascii="Times New Roman" w:hAnsi="Times New Roman" w:cs="Times New Roman"/>
          <w:i/>
          <w:sz w:val="28"/>
          <w:szCs w:val="28"/>
        </w:rPr>
        <w:t>енинградской области</w:t>
      </w:r>
      <w:r w:rsidR="00501690">
        <w:rPr>
          <w:rFonts w:ascii="Times New Roman" w:hAnsi="Times New Roman" w:cs="Times New Roman"/>
          <w:sz w:val="28"/>
          <w:szCs w:val="28"/>
        </w:rPr>
        <w:t xml:space="preserve"> (</w:t>
      </w:r>
      <w:r w:rsidRPr="00834F6C">
        <w:rPr>
          <w:rFonts w:ascii="Times New Roman" w:hAnsi="Times New Roman" w:cs="Times New Roman"/>
          <w:sz w:val="28"/>
          <w:szCs w:val="28"/>
        </w:rPr>
        <w:t>с 1 января 2019 года – Комитет цифрового развития Ленинградской области) и подведомственными ему учреждениями.</w:t>
      </w:r>
    </w:p>
    <w:p w:rsidR="00593EEF" w:rsidRPr="00834F6C" w:rsidRDefault="00BD448E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3EEF" w:rsidRPr="00834F6C">
        <w:rPr>
          <w:rFonts w:ascii="Times New Roman" w:hAnsi="Times New Roman" w:cs="Times New Roman"/>
          <w:sz w:val="28"/>
          <w:szCs w:val="28"/>
        </w:rPr>
        <w:t xml:space="preserve"> 388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93EEF" w:rsidRPr="00834F6C">
        <w:rPr>
          <w:rFonts w:ascii="Times New Roman" w:hAnsi="Times New Roman" w:cs="Times New Roman"/>
          <w:sz w:val="28"/>
          <w:szCs w:val="28"/>
        </w:rPr>
        <w:t xml:space="preserve"> в Ленинградской области обеспечен</w:t>
      </w:r>
      <w:r>
        <w:rPr>
          <w:rFonts w:ascii="Times New Roman" w:hAnsi="Times New Roman" w:cs="Times New Roman"/>
          <w:sz w:val="28"/>
          <w:szCs w:val="28"/>
        </w:rPr>
        <w:t>а работоспособность</w:t>
      </w:r>
      <w:r w:rsidR="00593EEF" w:rsidRPr="00834F6C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93EEF" w:rsidRPr="00834F6C">
        <w:rPr>
          <w:rFonts w:ascii="Times New Roman" w:hAnsi="Times New Roman" w:cs="Times New Roman"/>
          <w:sz w:val="28"/>
          <w:szCs w:val="28"/>
        </w:rPr>
        <w:t xml:space="preserve"> связи для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93EEF" w:rsidRPr="0083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EEF" w:rsidRPr="00834F6C">
        <w:rPr>
          <w:rFonts w:ascii="Times New Roman" w:hAnsi="Times New Roman" w:cs="Times New Roman"/>
          <w:sz w:val="28"/>
          <w:szCs w:val="28"/>
        </w:rPr>
        <w:t>диной сети передачи данных Ленинградской области.</w:t>
      </w:r>
    </w:p>
    <w:p w:rsidR="0011740C" w:rsidRPr="00834F6C" w:rsidRDefault="00593EEF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 xml:space="preserve">В рамках работ по оказанию услуг связи </w:t>
      </w:r>
      <w:r w:rsidR="0011740C" w:rsidRPr="00834F6C">
        <w:rPr>
          <w:rFonts w:ascii="Times New Roman" w:hAnsi="Times New Roman" w:cs="Times New Roman"/>
          <w:bCs/>
          <w:sz w:val="28"/>
          <w:szCs w:val="28"/>
        </w:rPr>
        <w:t>для обслуживания вызовов, поступающих на «Горячую линию» с Губернатором Ленинградской области в 20</w:t>
      </w:r>
      <w:r w:rsidR="00BD448E">
        <w:rPr>
          <w:rFonts w:ascii="Times New Roman" w:hAnsi="Times New Roman" w:cs="Times New Roman"/>
          <w:bCs/>
          <w:sz w:val="28"/>
          <w:szCs w:val="28"/>
        </w:rPr>
        <w:t>18 г.,</w:t>
      </w:r>
      <w:r w:rsidR="0011740C" w:rsidRPr="00834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48E">
        <w:rPr>
          <w:rFonts w:ascii="Times New Roman" w:hAnsi="Times New Roman" w:cs="Times New Roman"/>
          <w:sz w:val="28"/>
          <w:szCs w:val="28"/>
        </w:rPr>
        <w:t>з</w:t>
      </w:r>
      <w:r w:rsidR="0011740C" w:rsidRPr="00834F6C">
        <w:rPr>
          <w:rFonts w:ascii="Times New Roman" w:hAnsi="Times New Roman" w:cs="Times New Roman"/>
          <w:sz w:val="28"/>
          <w:szCs w:val="28"/>
        </w:rPr>
        <w:t>афиксировано 546 звонков-обращений от жителей Ленинградской области. Выведено в прямой эфир на «Горячую линию» 83 обращения, что составило 15,2 % от общего количества заявителей. Среднее число звонков-обращений, выводимых в прямой эфир за одну “Горячую линию”, составило 7 обращений</w:t>
      </w:r>
      <w:r w:rsidR="0011740C" w:rsidRPr="00834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40C" w:rsidRPr="00834F6C" w:rsidRDefault="0011740C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6C">
        <w:rPr>
          <w:rFonts w:ascii="Times New Roman" w:hAnsi="Times New Roman" w:cs="Times New Roman"/>
          <w:bCs/>
          <w:sz w:val="28"/>
          <w:szCs w:val="28"/>
        </w:rPr>
        <w:t>Связь является важнейшим компонентом информационной инфраструктуры. Для нужд администрации Ленинградской области оказываются услуги местной и</w:t>
      </w:r>
      <w:r w:rsidR="00552BDA">
        <w:rPr>
          <w:rFonts w:ascii="Times New Roman" w:hAnsi="Times New Roman" w:cs="Times New Roman"/>
          <w:bCs/>
          <w:sz w:val="28"/>
          <w:szCs w:val="28"/>
        </w:rPr>
        <w:t xml:space="preserve"> внутризоновой телефонной связи,</w:t>
      </w:r>
      <w:r w:rsidRPr="00834F6C">
        <w:rPr>
          <w:rFonts w:ascii="Times New Roman" w:hAnsi="Times New Roman" w:cs="Times New Roman"/>
          <w:bCs/>
          <w:sz w:val="28"/>
          <w:szCs w:val="28"/>
        </w:rPr>
        <w:t xml:space="preserve"> услуги междугородной и</w:t>
      </w:r>
      <w:r w:rsidR="00552BDA">
        <w:rPr>
          <w:rFonts w:ascii="Times New Roman" w:hAnsi="Times New Roman" w:cs="Times New Roman"/>
          <w:bCs/>
          <w:sz w:val="28"/>
          <w:szCs w:val="28"/>
        </w:rPr>
        <w:t xml:space="preserve"> международной телефонной связи,</w:t>
      </w:r>
      <w:r w:rsidRPr="00834F6C">
        <w:rPr>
          <w:rFonts w:ascii="Times New Roman" w:hAnsi="Times New Roman" w:cs="Times New Roman"/>
          <w:bCs/>
          <w:sz w:val="28"/>
          <w:szCs w:val="28"/>
        </w:rPr>
        <w:t xml:space="preserve"> услуги подвижной радиотелефонной связи, </w:t>
      </w:r>
      <w:r w:rsidR="001A39D4" w:rsidRPr="00834F6C">
        <w:rPr>
          <w:rFonts w:ascii="Times New Roman" w:hAnsi="Times New Roman" w:cs="Times New Roman"/>
          <w:bCs/>
          <w:sz w:val="28"/>
          <w:szCs w:val="28"/>
        </w:rPr>
        <w:t xml:space="preserve">мобильного информирования, </w:t>
      </w:r>
      <w:r w:rsidRPr="00834F6C">
        <w:rPr>
          <w:rFonts w:ascii="Times New Roman" w:hAnsi="Times New Roman" w:cs="Times New Roman"/>
          <w:bCs/>
          <w:sz w:val="28"/>
          <w:szCs w:val="28"/>
        </w:rPr>
        <w:t xml:space="preserve">специальной </w:t>
      </w:r>
      <w:r w:rsidR="001A39D4" w:rsidRPr="00834F6C">
        <w:rPr>
          <w:rFonts w:ascii="Times New Roman" w:hAnsi="Times New Roman" w:cs="Times New Roman"/>
          <w:bCs/>
          <w:sz w:val="28"/>
          <w:szCs w:val="28"/>
        </w:rPr>
        <w:t>и телеграфной связи.</w:t>
      </w:r>
    </w:p>
    <w:p w:rsidR="001A39D4" w:rsidRPr="00834F6C" w:rsidRDefault="001A39D4" w:rsidP="0004683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6C">
        <w:rPr>
          <w:rFonts w:ascii="Times New Roman" w:hAnsi="Times New Roman" w:cs="Times New Roman"/>
          <w:bCs/>
          <w:sz w:val="28"/>
          <w:szCs w:val="28"/>
        </w:rPr>
        <w:t xml:space="preserve">В рамках обеспечения функционирования технологической инфраструктуры «электронного правительства» Ленинградской области произведено техническое обслуживание офисной техники, сопровождение различных программных продуктов, проведена утилизация части оборудования. </w:t>
      </w:r>
      <w:proofErr w:type="gramStart"/>
      <w:r w:rsidRPr="00834F6C">
        <w:rPr>
          <w:rFonts w:ascii="Times New Roman" w:hAnsi="Times New Roman" w:cs="Times New Roman"/>
          <w:bCs/>
          <w:sz w:val="28"/>
          <w:szCs w:val="28"/>
        </w:rPr>
        <w:t xml:space="preserve">Также закуплены лицензии на право использования средств криптографической защиты, баз данных для конкретных органов исполнительной власти, закуплено ПО антивирусной защиты. </w:t>
      </w:r>
      <w:proofErr w:type="gramEnd"/>
    </w:p>
    <w:p w:rsidR="00BD448E" w:rsidRDefault="001A39D4" w:rsidP="000468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7B3068" w:rsidRPr="00834F6C">
        <w:rPr>
          <w:rFonts w:ascii="Times New Roman" w:hAnsi="Times New Roman" w:cs="Times New Roman"/>
          <w:bCs/>
          <w:sz w:val="28"/>
          <w:szCs w:val="28"/>
        </w:rPr>
        <w:t xml:space="preserve">развития фонда пространственных данных Ленинградской области </w:t>
      </w:r>
      <w:proofErr w:type="gramStart"/>
      <w:r w:rsidR="007B3068" w:rsidRPr="00834F6C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="007B3068" w:rsidRPr="00834F6C">
        <w:rPr>
          <w:rFonts w:ascii="Times New Roman" w:hAnsi="Times New Roman" w:cs="Times New Roman"/>
          <w:sz w:val="28"/>
          <w:szCs w:val="28"/>
        </w:rPr>
        <w:t xml:space="preserve"> и опубликована </w:t>
      </w:r>
      <w:proofErr w:type="spellStart"/>
      <w:r w:rsidR="007B3068" w:rsidRPr="00834F6C">
        <w:rPr>
          <w:rFonts w:ascii="Times New Roman" w:hAnsi="Times New Roman" w:cs="Times New Roman"/>
          <w:sz w:val="28"/>
          <w:szCs w:val="28"/>
        </w:rPr>
        <w:t>ортофотомозаика</w:t>
      </w:r>
      <w:proofErr w:type="spellEnd"/>
      <w:r w:rsidR="007B3068" w:rsidRPr="00834F6C">
        <w:rPr>
          <w:rFonts w:ascii="Times New Roman" w:hAnsi="Times New Roman" w:cs="Times New Roman"/>
          <w:sz w:val="28"/>
          <w:szCs w:val="28"/>
        </w:rPr>
        <w:t xml:space="preserve"> на территорию Ленинградской области на основе материалов космической съемки  за 2017 год</w:t>
      </w:r>
      <w:r w:rsidR="00BD448E">
        <w:rPr>
          <w:rFonts w:ascii="Times New Roman" w:hAnsi="Times New Roman" w:cs="Times New Roman"/>
          <w:sz w:val="28"/>
          <w:szCs w:val="28"/>
        </w:rPr>
        <w:t>.</w:t>
      </w:r>
      <w:r w:rsidR="007B3068" w:rsidRPr="00834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68" w:rsidRPr="00834F6C" w:rsidRDefault="007B3068" w:rsidP="000468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 xml:space="preserve">Подготовлены и опубликованы материалы и данные </w:t>
      </w:r>
      <w:r w:rsidR="009B0770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834F6C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Ленинградской области (200 схем в растровом формате и 30 схем в векторном формате). </w:t>
      </w:r>
    </w:p>
    <w:p w:rsidR="001A39D4" w:rsidRPr="00834F6C" w:rsidRDefault="007B3068" w:rsidP="000468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F6C">
        <w:rPr>
          <w:rFonts w:ascii="Times New Roman" w:hAnsi="Times New Roman" w:cs="Times New Roman"/>
          <w:sz w:val="28"/>
          <w:szCs w:val="28"/>
        </w:rPr>
        <w:t>Геокодированы</w:t>
      </w:r>
      <w:proofErr w:type="spellEnd"/>
      <w:r w:rsidRPr="00834F6C">
        <w:rPr>
          <w:rFonts w:ascii="Times New Roman" w:hAnsi="Times New Roman" w:cs="Times New Roman"/>
          <w:sz w:val="28"/>
          <w:szCs w:val="28"/>
        </w:rPr>
        <w:t xml:space="preserve"> все населенные пункты Ленинградской области с населением свыше 250 человек, а также населенные пункты с населением менее 250 человек в 7-ми районах Ленинградской области.</w:t>
      </w:r>
    </w:p>
    <w:p w:rsidR="00834F6C" w:rsidRPr="00834F6C" w:rsidRDefault="00BD448E" w:rsidP="0004683D">
      <w:pPr>
        <w:spacing w:after="0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834F6C" w:rsidRPr="00834F6C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в 2018 году приобретено 119 единиц </w:t>
      </w:r>
      <w:r w:rsidR="00834F6C"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для защиты платформ виртуализации в центре обработки данных Администрации Ленинградской области (далее - ЦОД),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F6C"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>8 единиц программного обеспечения автоматизированного восстановления виртуальных машин для ЦОД (программное обеспечение автоматизированного восстановле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200 виртуальных машин). П</w:t>
      </w:r>
      <w:r w:rsidR="00834F6C"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риобретено 249 единиц программного обеспечения криптографической защиты информации, проведены работы </w:t>
      </w:r>
      <w:r w:rsidR="00834F6C" w:rsidRPr="00834F6C">
        <w:rPr>
          <w:rFonts w:ascii="Times New Roman" w:hAnsi="Times New Roman" w:cs="Times New Roman"/>
          <w:sz w:val="28"/>
          <w:szCs w:val="28"/>
        </w:rPr>
        <w:t>по подготовке и проведению контроля эффективности внедрённых мер и средств защиты информации в отношении объектов информатизации, функционирующих в составе информационных систем Ленинградской области  в отношении 424 автоматизированных рабочих мест в 29 информационных системах.</w:t>
      </w:r>
      <w:r w:rsidR="00834F6C" w:rsidRPr="0083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="00834F6C" w:rsidRPr="00834F6C">
        <w:rPr>
          <w:rFonts w:ascii="Times New Roman" w:hAnsi="Times New Roman" w:cs="Times New Roman"/>
          <w:sz w:val="28"/>
          <w:szCs w:val="28"/>
        </w:rPr>
        <w:t xml:space="preserve"> работы по защите государственных информационных систем (далее ГИС) и ЦОД, в отношении 443 серверов ЦОД, 155 серверов и 104 автоматизированных рабочих мест ГИС. Подготовлены к переаттестации 56 автоматизированных рабочих мест и 3 информационные системы.</w:t>
      </w:r>
    </w:p>
    <w:p w:rsidR="00834F6C" w:rsidRDefault="00834F6C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4F6C">
        <w:rPr>
          <w:rFonts w:ascii="Times New Roman" w:hAnsi="Times New Roman" w:cs="Times New Roman"/>
          <w:sz w:val="28"/>
          <w:szCs w:val="28"/>
        </w:rPr>
        <w:t>беспечено защищенный информационный обмен между органами исполнительной власти, органами местного самоуправления Ленинградской области; мониторинга событий информационной безопасности, оперативного реагирования и противодействия компьютерным атакам. Проведены работы по предотвращению и/или минимизации ущерба от нарушений безопасности; обеспечена защита информации ограниченного доступа от несанкционированного доступа, осуществление аудита и  контроля доступа к данным; проведена работа по обслуживанию подсистемы межсетевого экранирования и защиты каналов связи.</w:t>
      </w:r>
    </w:p>
    <w:p w:rsidR="000978E2" w:rsidRDefault="000978E2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7A5B66">
        <w:rPr>
          <w:rFonts w:ascii="Times New Roman" w:hAnsi="Times New Roman" w:cs="Times New Roman"/>
          <w:sz w:val="28"/>
          <w:szCs w:val="28"/>
        </w:rPr>
        <w:t>р</w:t>
      </w:r>
      <w:r w:rsidR="007A5B66" w:rsidRPr="007A5B66">
        <w:rPr>
          <w:rFonts w:ascii="Times New Roman" w:hAnsi="Times New Roman" w:cs="Times New Roman"/>
          <w:sz w:val="28"/>
          <w:szCs w:val="28"/>
        </w:rPr>
        <w:t xml:space="preserve">азработан функционал оказания </w:t>
      </w:r>
      <w:r w:rsidR="00021FC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A5B66" w:rsidRPr="007A5B66">
        <w:rPr>
          <w:rFonts w:ascii="Times New Roman" w:hAnsi="Times New Roman" w:cs="Times New Roman"/>
          <w:sz w:val="28"/>
          <w:szCs w:val="28"/>
        </w:rPr>
        <w:t>24 госуда</w:t>
      </w:r>
      <w:r w:rsidR="007A5B66">
        <w:rPr>
          <w:rFonts w:ascii="Times New Roman" w:hAnsi="Times New Roman" w:cs="Times New Roman"/>
          <w:sz w:val="28"/>
          <w:szCs w:val="28"/>
        </w:rPr>
        <w:t>рственных и муниципальных услуг, д</w:t>
      </w:r>
      <w:r w:rsidR="007A5B66" w:rsidRPr="007A5B66">
        <w:rPr>
          <w:rFonts w:ascii="Times New Roman" w:hAnsi="Times New Roman" w:cs="Times New Roman"/>
          <w:sz w:val="28"/>
          <w:szCs w:val="28"/>
        </w:rPr>
        <w:t>оработан  функционал оказания в электронном виде 83 государственных и муниципальных услуг, созданны</w:t>
      </w:r>
      <w:r w:rsidR="007A5B66">
        <w:rPr>
          <w:rFonts w:ascii="Times New Roman" w:hAnsi="Times New Roman" w:cs="Times New Roman"/>
          <w:sz w:val="28"/>
          <w:szCs w:val="28"/>
        </w:rPr>
        <w:t>х</w:t>
      </w:r>
      <w:r w:rsidR="007A5B66" w:rsidRPr="007A5B66">
        <w:rPr>
          <w:rFonts w:ascii="Times New Roman" w:hAnsi="Times New Roman" w:cs="Times New Roman"/>
          <w:sz w:val="28"/>
          <w:szCs w:val="28"/>
        </w:rPr>
        <w:t xml:space="preserve"> ранее. </w:t>
      </w:r>
      <w:r w:rsidR="007A5B66">
        <w:rPr>
          <w:rFonts w:ascii="Times New Roman" w:hAnsi="Times New Roman" w:cs="Times New Roman"/>
          <w:sz w:val="28"/>
          <w:szCs w:val="28"/>
        </w:rPr>
        <w:t xml:space="preserve"> </w:t>
      </w:r>
      <w:r w:rsidR="007A5B66" w:rsidRPr="007A5B66">
        <w:rPr>
          <w:rFonts w:ascii="Times New Roman" w:hAnsi="Times New Roman" w:cs="Times New Roman"/>
          <w:sz w:val="28"/>
          <w:szCs w:val="28"/>
        </w:rPr>
        <w:t xml:space="preserve">Выполнены работы по внедрению функционала 15 государственных и муниципальных услуг. </w:t>
      </w:r>
      <w:r w:rsidR="00501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B66" w:rsidRPr="00501690">
        <w:rPr>
          <w:rFonts w:ascii="Times New Roman" w:hAnsi="Times New Roman" w:cs="Times New Roman"/>
          <w:sz w:val="28"/>
          <w:szCs w:val="28"/>
        </w:rPr>
        <w:t xml:space="preserve">На портале государственных </w:t>
      </w:r>
      <w:r w:rsidR="00BD448E" w:rsidRPr="005016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D448E" w:rsidRPr="00501690">
        <w:rPr>
          <w:rFonts w:ascii="Times New Roman" w:hAnsi="Times New Roman" w:cs="Times New Roman"/>
          <w:sz w:val="28"/>
          <w:szCs w:val="28"/>
        </w:rPr>
        <w:t>муниципальных</w:t>
      </w:r>
      <w:r w:rsidR="007A5B66" w:rsidRPr="00501690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7A5B66" w:rsidRPr="00501690">
        <w:rPr>
          <w:rFonts w:ascii="Times New Roman" w:hAnsi="Times New Roman" w:cs="Times New Roman"/>
          <w:sz w:val="28"/>
          <w:szCs w:val="28"/>
        </w:rPr>
        <w:t xml:space="preserve"> Ленинградской области размещены 5 </w:t>
      </w:r>
      <w:proofErr w:type="spellStart"/>
      <w:r w:rsidR="007A5B66" w:rsidRPr="00501690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7A5B66" w:rsidRPr="00501690">
        <w:rPr>
          <w:rFonts w:ascii="Times New Roman" w:hAnsi="Times New Roman" w:cs="Times New Roman"/>
          <w:sz w:val="28"/>
          <w:szCs w:val="28"/>
        </w:rPr>
        <w:t xml:space="preserve"> федеральных услуг сервиса «Открытая платформа </w:t>
      </w:r>
      <w:proofErr w:type="spellStart"/>
      <w:r w:rsidR="007A5B66" w:rsidRPr="005016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A5B66" w:rsidRPr="00501690">
        <w:rPr>
          <w:rFonts w:ascii="Times New Roman" w:hAnsi="Times New Roman" w:cs="Times New Roman"/>
          <w:sz w:val="28"/>
          <w:szCs w:val="28"/>
        </w:rPr>
        <w:t xml:space="preserve">», выполнена разработка модуля, позволяющего подавать заявление на получение сертификата ключа электронной подписи. </w:t>
      </w:r>
      <w:proofErr w:type="gramEnd"/>
      <w:r w:rsidR="007A5B66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услуг размещен функционал </w:t>
      </w:r>
      <w:r w:rsidR="007A5B66" w:rsidRPr="007A5B66">
        <w:rPr>
          <w:rFonts w:ascii="Times New Roman" w:hAnsi="Times New Roman" w:cs="Times New Roman"/>
          <w:sz w:val="28"/>
          <w:szCs w:val="28"/>
        </w:rPr>
        <w:t>оказания 2 государственных услуг Ленинградской области.</w:t>
      </w:r>
    </w:p>
    <w:p w:rsidR="009823D1" w:rsidRDefault="009823D1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021FCB">
        <w:rPr>
          <w:rFonts w:ascii="Times New Roman" w:hAnsi="Times New Roman" w:cs="Times New Roman"/>
          <w:sz w:val="28"/>
          <w:szCs w:val="28"/>
        </w:rPr>
        <w:t xml:space="preserve"> по заказу</w:t>
      </w:r>
      <w:r>
        <w:rPr>
          <w:rFonts w:ascii="Times New Roman" w:hAnsi="Times New Roman" w:cs="Times New Roman"/>
          <w:sz w:val="28"/>
          <w:szCs w:val="28"/>
        </w:rPr>
        <w:t xml:space="preserve"> ГКУ ЛО «Оператор «электронного правительства» был</w:t>
      </w:r>
      <w:r w:rsidR="00021FCB">
        <w:rPr>
          <w:rFonts w:ascii="Times New Roman" w:hAnsi="Times New Roman" w:cs="Times New Roman"/>
          <w:sz w:val="28"/>
          <w:szCs w:val="28"/>
        </w:rPr>
        <w:t>и созданы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021FCB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21F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21F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A5E" w:rsidRDefault="009823D1" w:rsidP="0004683D">
      <w:pPr>
        <w:pStyle w:val="a3"/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021FCB">
        <w:rPr>
          <w:rFonts w:ascii="Times New Roman" w:hAnsi="Times New Roman" w:cs="Times New Roman"/>
          <w:sz w:val="28"/>
          <w:szCs w:val="28"/>
        </w:rPr>
        <w:t>ая</w:t>
      </w:r>
      <w:r w:rsidRPr="00480A5E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21FCB">
        <w:rPr>
          <w:rFonts w:ascii="Times New Roman" w:hAnsi="Times New Roman" w:cs="Times New Roman"/>
          <w:sz w:val="28"/>
          <w:szCs w:val="28"/>
        </w:rPr>
        <w:t>ая</w:t>
      </w:r>
      <w:r w:rsidRPr="00480A5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21FCB">
        <w:rPr>
          <w:rFonts w:ascii="Times New Roman" w:hAnsi="Times New Roman" w:cs="Times New Roman"/>
          <w:sz w:val="28"/>
          <w:szCs w:val="28"/>
        </w:rPr>
        <w:t>а</w:t>
      </w:r>
      <w:r w:rsidRPr="00480A5E">
        <w:rPr>
          <w:rFonts w:ascii="Times New Roman" w:hAnsi="Times New Roman" w:cs="Times New Roman"/>
          <w:sz w:val="28"/>
          <w:szCs w:val="28"/>
        </w:rPr>
        <w:t xml:space="preserve"> сбора оперативны</w:t>
      </w:r>
      <w:r w:rsidR="00480A5E" w:rsidRPr="00480A5E">
        <w:rPr>
          <w:rFonts w:ascii="Times New Roman" w:hAnsi="Times New Roman" w:cs="Times New Roman"/>
          <w:sz w:val="28"/>
          <w:szCs w:val="28"/>
        </w:rPr>
        <w:t>х данных Ленинградской области;</w:t>
      </w:r>
    </w:p>
    <w:p w:rsidR="007A5B66" w:rsidRPr="00480A5E" w:rsidRDefault="009823D1" w:rsidP="0004683D">
      <w:pPr>
        <w:pStyle w:val="a3"/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 w:rsidR="00021FCB">
        <w:rPr>
          <w:rFonts w:ascii="Times New Roman" w:hAnsi="Times New Roman" w:cs="Times New Roman"/>
          <w:sz w:val="28"/>
          <w:szCs w:val="28"/>
        </w:rPr>
        <w:t>ая</w:t>
      </w:r>
      <w:r w:rsidRPr="00480A5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21FCB">
        <w:rPr>
          <w:rFonts w:ascii="Times New Roman" w:hAnsi="Times New Roman" w:cs="Times New Roman"/>
          <w:sz w:val="28"/>
          <w:szCs w:val="28"/>
        </w:rPr>
        <w:t>а</w:t>
      </w:r>
      <w:r w:rsidRPr="00480A5E">
        <w:rPr>
          <w:rFonts w:ascii="Times New Roman" w:hAnsi="Times New Roman" w:cs="Times New Roman"/>
          <w:sz w:val="28"/>
          <w:szCs w:val="28"/>
        </w:rPr>
        <w:t xml:space="preserve"> «Ситуационный центр Губернатора Ленинградской области»</w:t>
      </w:r>
      <w:r w:rsidR="00021FCB">
        <w:rPr>
          <w:rFonts w:ascii="Times New Roman" w:hAnsi="Times New Roman" w:cs="Times New Roman"/>
          <w:sz w:val="28"/>
          <w:szCs w:val="28"/>
        </w:rPr>
        <w:t>.</w:t>
      </w:r>
    </w:p>
    <w:p w:rsidR="009823D1" w:rsidRDefault="009823D1" w:rsidP="000468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выполнено развитие 7 информационных систем и сопровождение 16 </w:t>
      </w:r>
      <w:r w:rsidR="00EC65A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систем: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системы управления развитием агропромышленного и </w:t>
      </w:r>
      <w:proofErr w:type="spellStart"/>
      <w:r w:rsidRPr="00480A5E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80A5E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многоуровневой автоматизированной интеграционной системы ЗАГС;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«Электронный Детский Сад»;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«Подготовка планов информатизации Ленинградской области»;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«Система автоматизации функций тарифного регулирования Ленинградской области»;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системы электронного документооборота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телефонно-справочной системы органов государственной власти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информационной системы управления государственными и муниципальными служащими в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портал «Народная экспертиза Ленинградской области»;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информационной системы управления общественными финансами «Открытый бюджет»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информационной системы управления реестром полномочий органов исполнительной власти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региональной информационной системы «Планирование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средств»;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>управление бюджетным процессом Ленинградской области;</w:t>
      </w:r>
    </w:p>
    <w:p w:rsidR="009823D1" w:rsidRPr="00480A5E" w:rsidRDefault="009823D1" w:rsidP="00021FCB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5E">
        <w:rPr>
          <w:rFonts w:ascii="Times New Roman" w:hAnsi="Times New Roman" w:cs="Times New Roman"/>
          <w:sz w:val="28"/>
          <w:szCs w:val="28"/>
        </w:rPr>
        <w:t xml:space="preserve">регионального сегмента единой федеральной межведомственной системы учета контингента </w:t>
      </w:r>
      <w:proofErr w:type="gramStart"/>
      <w:r w:rsidRPr="00480A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0A5E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дополнительным образовательным программам Ленинградской области.</w:t>
      </w:r>
    </w:p>
    <w:p w:rsidR="00834F6C" w:rsidRPr="00834F6C" w:rsidRDefault="00834F6C" w:rsidP="007B3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068" w:rsidRPr="007B3068" w:rsidRDefault="007B3068" w:rsidP="007B30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3EEF" w:rsidRPr="00593EEF" w:rsidRDefault="00593EEF" w:rsidP="001A3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E7A" w:rsidRDefault="003D5E7A" w:rsidP="00501690">
      <w:pPr>
        <w:rPr>
          <w:rFonts w:ascii="Times New Roman" w:hAnsi="Times New Roman" w:cs="Times New Roman"/>
          <w:sz w:val="28"/>
          <w:szCs w:val="28"/>
        </w:rPr>
        <w:sectPr w:rsidR="003D5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E7A" w:rsidRPr="003D5E7A" w:rsidRDefault="003D5E7A" w:rsidP="003D5E7A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3D5E7A">
        <w:rPr>
          <w:rFonts w:ascii="Times New Roman" w:eastAsia="Calibri" w:hAnsi="Times New Roman" w:cs="Times New Roman"/>
          <w:bCs/>
        </w:rPr>
        <w:t>Приложение 1</w:t>
      </w:r>
    </w:p>
    <w:p w:rsidR="003D5E7A" w:rsidRPr="003D5E7A" w:rsidRDefault="003D5E7A" w:rsidP="003D5E7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Информация_о_распределении"/>
      <w:bookmarkEnd w:id="0"/>
      <w:r w:rsidRPr="003D5E7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распределении финансирования по основным направлениям информатизации в 201</w:t>
      </w:r>
      <w:r w:rsidR="004E0B2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D5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49"/>
        <w:gridCol w:w="2016"/>
        <w:gridCol w:w="1166"/>
        <w:gridCol w:w="1069"/>
        <w:gridCol w:w="540"/>
        <w:gridCol w:w="1489"/>
        <w:gridCol w:w="753"/>
        <w:gridCol w:w="1560"/>
        <w:gridCol w:w="636"/>
        <w:gridCol w:w="1243"/>
        <w:gridCol w:w="507"/>
        <w:gridCol w:w="1607"/>
        <w:gridCol w:w="655"/>
        <w:gridCol w:w="1034"/>
        <w:gridCol w:w="421"/>
      </w:tblGrid>
      <w:tr w:rsidR="003D5E7A" w:rsidRPr="003D5E7A" w:rsidTr="00836007">
        <w:trPr>
          <w:trHeight w:val="3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п.п</w:t>
            </w:r>
            <w:proofErr w:type="spellEnd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создание, развитие и сопровождение ИС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приобретение вычислительной техники и комплектующих частей к ней, коммуникационного оборудования и средств, периферийной техники и средств, а также приобретение программного обеспечения и прав на использование программного </w:t>
            </w:r>
            <w:proofErr w:type="gramStart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услуги по обслуживанию и ремонту вычислительной техники и комплектующих частей к ней, коммуникационного оборудования и средств, периферийной техники и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услуги связи, в том числе услуги по предоставлению доступа к сети интернет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консультационные </w:t>
            </w:r>
            <w:proofErr w:type="gramStart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услуги</w:t>
            </w:r>
            <w:proofErr w:type="gramEnd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связанные с информационно-коммуникационными технологиями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работы и расходы, связанные с ИКТ</w:t>
            </w:r>
          </w:p>
        </w:tc>
      </w:tr>
      <w:tr w:rsidR="003D5E7A" w:rsidRPr="003D5E7A" w:rsidTr="0083600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тыс. </w:t>
            </w:r>
            <w:proofErr w:type="spellStart"/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7A" w:rsidRPr="003D5E7A" w:rsidRDefault="003D5E7A" w:rsidP="003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связи и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960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319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260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117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051FB5" w:rsidRPr="003D5E7A" w:rsidTr="00836007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128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здравоохранению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правопорядка и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41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841,4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6440,7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природным ресурсам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40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051FB5" w:rsidRPr="003D5E7A" w:rsidTr="008360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социальной защите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34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051FB5" w:rsidRPr="003D5E7A" w:rsidTr="00836007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Комитет по дорожному хозяйству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30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общего и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27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государственного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23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788,5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20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6951,7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труду и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17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Управление по транспорту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051FB5" w:rsidRPr="003D5E7A" w:rsidTr="0083600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жилищно-коммунальному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8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738,8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051FB5" w:rsidRPr="003D5E7A" w:rsidTr="00836007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печати и связям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Комитет по агропромышленному и </w:t>
            </w:r>
            <w:proofErr w:type="spellStart"/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рыбохозяйственному</w:t>
            </w:r>
            <w:proofErr w:type="spellEnd"/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комплексу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Комитет </w:t>
            </w:r>
            <w:r w:rsidR="00051FB5"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по МСУ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051FB5" w:rsidRPr="003D5E7A" w:rsidTr="00836007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Комитет </w:t>
            </w:r>
            <w:r w:rsidR="00051FB5"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по развитию малого и среднего бизнеса и потребительского рынка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Управление делами Правительства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топливно-энергетическому комплексу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охране, контролю и регулированию использования объектов животного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051FB5" w:rsidRPr="003D5E7A" w:rsidTr="008360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по строительству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Архивное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B5" w:rsidRPr="003D5E7A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FB5" w:rsidRPr="00836007" w:rsidRDefault="00836007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Комитет государственного экологического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B5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Представительство Правительства ЛО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995,0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B5" w:rsidRDefault="00051FB5" w:rsidP="003D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FB5" w:rsidRPr="00836007" w:rsidRDefault="00051FB5" w:rsidP="008360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Управление по государственному техническому надзору и контролю (</w:t>
            </w:r>
            <w:proofErr w:type="spellStart"/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Гостехнадзор</w:t>
            </w:r>
            <w:proofErr w:type="spellEnd"/>
            <w:r w:rsidRPr="00836007">
              <w:rPr>
                <w:rFonts w:ascii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051FB5" w:rsidRPr="003D5E7A" w:rsidTr="008360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B5" w:rsidRPr="003D5E7A" w:rsidRDefault="00051FB5" w:rsidP="003D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E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836007" w:rsidRDefault="00836007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51FB5" w:rsidRPr="00836007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449</w:t>
            </w:r>
            <w:r w:rsidR="0003674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836007">
              <w:rPr>
                <w:rFonts w:ascii="Times New Roman" w:hAnsi="Times New Roman" w:cs="Times New Roman"/>
                <w:b/>
                <w:color w:val="000000"/>
                <w:sz w:val="20"/>
              </w:rPr>
              <w:t>785,5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482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490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136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115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521,3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211</w:t>
            </w:r>
            <w:r w:rsidR="000367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FB5" w:rsidRPr="00051FB5" w:rsidRDefault="00051FB5" w:rsidP="008360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1FB5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</w:tr>
    </w:tbl>
    <w:p w:rsidR="003D5E7A" w:rsidRPr="003D5E7A" w:rsidRDefault="003D5E7A" w:rsidP="003D5E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2181" w:rsidRDefault="00962181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2181" w:rsidRDefault="00962181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2181" w:rsidRDefault="00962181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007" w:rsidRDefault="00836007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007" w:rsidRDefault="00836007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007" w:rsidRDefault="00836007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007" w:rsidRDefault="00836007" w:rsidP="009621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A117F" w:rsidRDefault="002A117F" w:rsidP="0096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2A117F" w:rsidRDefault="002A117F" w:rsidP="0096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8C6368" w:rsidRDefault="008C6368" w:rsidP="0096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8C6368" w:rsidRDefault="008C6368" w:rsidP="0096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3D5E7A" w:rsidRPr="00962181" w:rsidRDefault="003D5E7A" w:rsidP="009621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962181">
        <w:rPr>
          <w:rFonts w:ascii="Times New Roman" w:eastAsia="Calibri" w:hAnsi="Times New Roman" w:cs="Times New Roman"/>
          <w:sz w:val="20"/>
        </w:rPr>
        <w:t>Приложение 2</w:t>
      </w:r>
    </w:p>
    <w:p w:rsidR="003D5E7A" w:rsidRPr="00962181" w:rsidRDefault="003D5E7A" w:rsidP="003D5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</w:rPr>
      </w:pPr>
    </w:p>
    <w:p w:rsidR="003D5E7A" w:rsidRPr="003D5E7A" w:rsidRDefault="003D5E7A" w:rsidP="003D5E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E7A">
        <w:rPr>
          <w:rFonts w:ascii="Times New Roman" w:eastAsia="Calibri" w:hAnsi="Times New Roman" w:cs="Times New Roman"/>
          <w:b/>
          <w:sz w:val="28"/>
          <w:szCs w:val="28"/>
        </w:rPr>
        <w:t>Информация о динамике расходов органов власти Ленинградской области  (тыс. рублей)</w:t>
      </w:r>
    </w:p>
    <w:p w:rsidR="003D5E7A" w:rsidRPr="003D5E7A" w:rsidRDefault="003D5E7A" w:rsidP="003D5E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60" w:type="pct"/>
        <w:tblInd w:w="-176" w:type="dxa"/>
        <w:tblLook w:val="04A0" w:firstRow="1" w:lastRow="0" w:firstColumn="1" w:lastColumn="0" w:noHBand="0" w:noVBand="1"/>
      </w:tblPr>
      <w:tblGrid>
        <w:gridCol w:w="850"/>
        <w:gridCol w:w="9926"/>
        <w:gridCol w:w="1559"/>
        <w:gridCol w:w="850"/>
        <w:gridCol w:w="1778"/>
      </w:tblGrid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81" w:rsidRPr="002A117F" w:rsidRDefault="00962181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2A117F" w:rsidRDefault="00962181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ОИВ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81" w:rsidRPr="002A117F" w:rsidRDefault="00962181" w:rsidP="002A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81" w:rsidRPr="002A117F" w:rsidRDefault="00962181" w:rsidP="002A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81" w:rsidRPr="002A117F" w:rsidRDefault="00962181" w:rsidP="002A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природным ресурсам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11421,94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40565,07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255,2%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Архивное управление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809,2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2215,76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173,8%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социальной защите населения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12000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21459,79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78,8%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строительству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2638,4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4711,35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78,6%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2916,81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4622,95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58,5%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4443,27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6600,5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48,6%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труду и занятости населения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13656,97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17179,29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25,8%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27739,22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32634,74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17,6%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24095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27771,23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15,3%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Комитет по агропромышленному и </w:t>
            </w:r>
            <w:proofErr w:type="spellStart"/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рыбохозяйственному</w:t>
            </w:r>
            <w:proofErr w:type="spellEnd"/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4807,43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5360,95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11,5%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1352,08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1439,89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6,5%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правление Ленинградской области по транспорту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10615,4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10178,09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-4,1%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4826,2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4550,04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-5,7%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правопорядка и безопасности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59384,09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55181,52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-7,1%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4760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4060,83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-14,7%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культуре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5794,17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4592,04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-20,7%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связи и информатизации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990294,2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783732,5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-20,9%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4946,74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3543,28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-28,4%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правление Ленинградской области по государственному техническому надзору и контролю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1077,72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648,14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-39,9%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21323,32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11256,77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-47,2%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делами Правительства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4280,62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2257,16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-47,3%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2197,04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995,51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-54,7%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25000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8738,74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-65,0%</w:t>
            </w:r>
          </w:p>
        </w:tc>
      </w:tr>
      <w:tr w:rsidR="002A117F" w:rsidRPr="00962181" w:rsidTr="002A117F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государственного заказа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32989,4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9026,13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-72,6%</w:t>
            </w:r>
          </w:p>
        </w:tc>
      </w:tr>
      <w:tr w:rsidR="002A117F" w:rsidRPr="00962181" w:rsidTr="0004683D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омитет по архитектуре и градостроительству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нет информации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3474,21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A7" w:rsidRPr="002A117F" w:rsidRDefault="0004683D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-</w:t>
            </w:r>
          </w:p>
        </w:tc>
      </w:tr>
      <w:tr w:rsidR="002A117F" w:rsidRPr="00962181" w:rsidTr="0004683D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Комитет по дорожному хозяйству Ленинградской области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нет информации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30000,14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A7" w:rsidRPr="002A117F" w:rsidRDefault="0004683D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-</w:t>
            </w:r>
          </w:p>
        </w:tc>
      </w:tr>
      <w:tr w:rsidR="002A117F" w:rsidRPr="00962181" w:rsidTr="0004683D">
        <w:trPr>
          <w:trHeight w:hRule="exact" w:val="3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2A7" w:rsidRPr="002A117F" w:rsidRDefault="00BF32A7" w:rsidP="002A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A7" w:rsidRPr="002A117F" w:rsidRDefault="009B75D4" w:rsidP="002A117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r w:rsidR="00BF32A7" w:rsidRPr="002A1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нет информации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A7" w:rsidRPr="002A117F" w:rsidRDefault="00BF32A7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A117F">
              <w:rPr>
                <w:rFonts w:ascii="Times New Roman" w:hAnsi="Times New Roman" w:cs="Times New Roman"/>
                <w:color w:val="000000"/>
                <w:sz w:val="16"/>
              </w:rPr>
              <w:t>1485,51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A7" w:rsidRPr="002A117F" w:rsidRDefault="0004683D" w:rsidP="002A11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-</w:t>
            </w:r>
          </w:p>
        </w:tc>
      </w:tr>
    </w:tbl>
    <w:p w:rsidR="00593EEF" w:rsidRPr="00881738" w:rsidRDefault="00593EEF" w:rsidP="00EC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3EEF" w:rsidRPr="00881738" w:rsidSect="002A117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64"/>
    <w:multiLevelType w:val="hybridMultilevel"/>
    <w:tmpl w:val="F5544784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876B7"/>
    <w:multiLevelType w:val="hybridMultilevel"/>
    <w:tmpl w:val="30929F30"/>
    <w:lvl w:ilvl="0" w:tplc="571C249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E5970"/>
    <w:multiLevelType w:val="hybridMultilevel"/>
    <w:tmpl w:val="F162D404"/>
    <w:lvl w:ilvl="0" w:tplc="DA907DE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430A4"/>
    <w:multiLevelType w:val="hybridMultilevel"/>
    <w:tmpl w:val="70A02F8C"/>
    <w:lvl w:ilvl="0" w:tplc="DA907D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30BF9"/>
    <w:multiLevelType w:val="hybridMultilevel"/>
    <w:tmpl w:val="FFDE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B51956"/>
    <w:multiLevelType w:val="hybridMultilevel"/>
    <w:tmpl w:val="502E5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2D14C1"/>
    <w:multiLevelType w:val="hybridMultilevel"/>
    <w:tmpl w:val="9648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B0AC3"/>
    <w:multiLevelType w:val="hybridMultilevel"/>
    <w:tmpl w:val="260CDC50"/>
    <w:lvl w:ilvl="0" w:tplc="571C249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426174"/>
    <w:multiLevelType w:val="hybridMultilevel"/>
    <w:tmpl w:val="C33C7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A435BDA"/>
    <w:multiLevelType w:val="hybridMultilevel"/>
    <w:tmpl w:val="E81ADF08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04B6"/>
    <w:multiLevelType w:val="hybridMultilevel"/>
    <w:tmpl w:val="D1B8092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D538D3"/>
    <w:multiLevelType w:val="multilevel"/>
    <w:tmpl w:val="841A77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8"/>
    <w:rsid w:val="00021FCB"/>
    <w:rsid w:val="00036742"/>
    <w:rsid w:val="0004683D"/>
    <w:rsid w:val="00051FB5"/>
    <w:rsid w:val="00091D0F"/>
    <w:rsid w:val="00094309"/>
    <w:rsid w:val="000978E2"/>
    <w:rsid w:val="0011740C"/>
    <w:rsid w:val="00131345"/>
    <w:rsid w:val="00171D98"/>
    <w:rsid w:val="00180F72"/>
    <w:rsid w:val="001A39D4"/>
    <w:rsid w:val="001A69CB"/>
    <w:rsid w:val="001F27B0"/>
    <w:rsid w:val="001F730F"/>
    <w:rsid w:val="002053EE"/>
    <w:rsid w:val="0022205E"/>
    <w:rsid w:val="0022458B"/>
    <w:rsid w:val="00236A75"/>
    <w:rsid w:val="00267068"/>
    <w:rsid w:val="00270AD9"/>
    <w:rsid w:val="002A117F"/>
    <w:rsid w:val="0038196E"/>
    <w:rsid w:val="003A016B"/>
    <w:rsid w:val="003D5E7A"/>
    <w:rsid w:val="0041092B"/>
    <w:rsid w:val="0044197D"/>
    <w:rsid w:val="00480A5E"/>
    <w:rsid w:val="004A44A2"/>
    <w:rsid w:val="004C3EAC"/>
    <w:rsid w:val="004D4FBC"/>
    <w:rsid w:val="004E0B25"/>
    <w:rsid w:val="004E4C05"/>
    <w:rsid w:val="00501690"/>
    <w:rsid w:val="00523D1C"/>
    <w:rsid w:val="00552BDA"/>
    <w:rsid w:val="00557047"/>
    <w:rsid w:val="00593EEF"/>
    <w:rsid w:val="005D1B02"/>
    <w:rsid w:val="006231DF"/>
    <w:rsid w:val="0066593D"/>
    <w:rsid w:val="006A08A2"/>
    <w:rsid w:val="00701EB1"/>
    <w:rsid w:val="007A5B66"/>
    <w:rsid w:val="007B3068"/>
    <w:rsid w:val="007D5801"/>
    <w:rsid w:val="00834F6C"/>
    <w:rsid w:val="00836007"/>
    <w:rsid w:val="00853CF6"/>
    <w:rsid w:val="00881738"/>
    <w:rsid w:val="008C6368"/>
    <w:rsid w:val="008D3095"/>
    <w:rsid w:val="008F6023"/>
    <w:rsid w:val="00910CD5"/>
    <w:rsid w:val="0091699C"/>
    <w:rsid w:val="00924626"/>
    <w:rsid w:val="00937437"/>
    <w:rsid w:val="00942337"/>
    <w:rsid w:val="00962181"/>
    <w:rsid w:val="00971D8E"/>
    <w:rsid w:val="009823D1"/>
    <w:rsid w:val="009B0770"/>
    <w:rsid w:val="009B75D4"/>
    <w:rsid w:val="009D03B4"/>
    <w:rsid w:val="009D7C2D"/>
    <w:rsid w:val="009E073F"/>
    <w:rsid w:val="00AA0AD9"/>
    <w:rsid w:val="00B15EEC"/>
    <w:rsid w:val="00B47035"/>
    <w:rsid w:val="00B9642A"/>
    <w:rsid w:val="00BD448E"/>
    <w:rsid w:val="00BF32A7"/>
    <w:rsid w:val="00C03B29"/>
    <w:rsid w:val="00C2569E"/>
    <w:rsid w:val="00D74087"/>
    <w:rsid w:val="00DA7373"/>
    <w:rsid w:val="00DD1ACB"/>
    <w:rsid w:val="00DF7E70"/>
    <w:rsid w:val="00E23900"/>
    <w:rsid w:val="00EC44F7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5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B3068"/>
  </w:style>
  <w:style w:type="table" w:styleId="a7">
    <w:name w:val="Table Grid"/>
    <w:basedOn w:val="a1"/>
    <w:uiPriority w:val="59"/>
    <w:rsid w:val="003D5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5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B3068"/>
  </w:style>
  <w:style w:type="table" w:styleId="a7">
    <w:name w:val="Table Grid"/>
    <w:basedOn w:val="a1"/>
    <w:uiPriority w:val="59"/>
    <w:rsid w:val="003D5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k_grishina\Desktop\&#1086;&#1090;&#1095;&#1077;&#1090;%20&#1086;&#1073;%20&#1080;&#1089;&#1087;&#1086;&#1083;&#1085;&#1077;&#1085;&#1080;&#1080;%20&#1055;&#1048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k_grishina\Desktop\&#1086;&#1090;&#1095;&#1077;&#1090;%20&#1086;&#1073;%20&#1080;&#1089;&#1087;&#1086;&#1083;&#1085;&#1077;&#1085;&#1080;&#1080;%20&#1055;&#1048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k_grishina\Desktop\&#1086;&#1090;&#1095;&#1077;&#1090;%20&#1086;&#1073;%20&#1080;&#1089;&#1087;&#1086;&#1083;&#1085;&#1077;&#1085;&#1080;&#1080;%20&#1055;&#1048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1.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расходов на ИКТ в 2018 году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Лист3!$A$1:$F$1</c:f>
              <c:strCache>
                <c:ptCount val="6"/>
                <c:pt idx="0">
                  <c:v>создание, развитие и сопровождение государственных информационных систем</c:v>
                </c:pt>
                <c:pt idx="1">
                  <c:v>приобретение вычислительной техники и комплектующих частей к ней, коммуникационного оборудования и средств, периферийной техники и средств, а также приобретение программного обеспечения и прав на использование программного обеспечения</c:v>
                </c:pt>
                <c:pt idx="2">
                  <c:v>услуги по обслуживанию и ремонту вычислительной техники и комплектующих частей к ней, коммуникационного оборудования и средств, периферийной техники и средств</c:v>
                </c:pt>
                <c:pt idx="3">
                  <c:v>услуги связи, в том числе услуги по предоставлению доступа к сети интернет</c:v>
                </c:pt>
                <c:pt idx="4">
                  <c:v>консультационные услуги связанные с информационно-коммуникационными технологиями</c:v>
                </c:pt>
                <c:pt idx="5">
                  <c:v>прочие работы и расходы, связанные с ИКТ</c:v>
                </c:pt>
              </c:strCache>
            </c:strRef>
          </c:cat>
          <c:val>
            <c:numRef>
              <c:f>Лист3!$A$2:$F$2</c:f>
              <c:numCache>
                <c:formatCode>General</c:formatCode>
                <c:ptCount val="6"/>
                <c:pt idx="0">
                  <c:v>482979.98999999987</c:v>
                </c:pt>
                <c:pt idx="1">
                  <c:v>490776.15</c:v>
                </c:pt>
                <c:pt idx="2">
                  <c:v>136575.21000000002</c:v>
                </c:pt>
                <c:pt idx="3">
                  <c:v>115846.49999999999</c:v>
                </c:pt>
                <c:pt idx="4">
                  <c:v>13521.34</c:v>
                </c:pt>
                <c:pt idx="5">
                  <c:v>211192.68999999997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2.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на ИКТ по сферам социально-экономической деятельности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3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8"/>
              <c:layout>
                <c:manualLayout>
                  <c:x val="0.10511756313731761"/>
                  <c:y val="-1.61425286286079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Лист5!$H$10:$H$18</c:f>
              <c:strCache>
                <c:ptCount val="9"/>
                <c:pt idx="0">
                  <c:v>социальная сфера</c:v>
                </c:pt>
                <c:pt idx="1">
                  <c:v>безопасность</c:v>
                </c:pt>
                <c:pt idx="2">
                  <c:v>экономика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ЖКХ и энергетика</c:v>
                </c:pt>
                <c:pt idx="6">
                  <c:v>внутренняя политика</c:v>
                </c:pt>
                <c:pt idx="7">
                  <c:v>финансы</c:v>
                </c:pt>
                <c:pt idx="8">
                  <c:v>управление делами</c:v>
                </c:pt>
              </c:strCache>
            </c:strRef>
          </c:cat>
          <c:val>
            <c:numRef>
              <c:f>Лист5!$I$10:$I$18</c:f>
              <c:numCache>
                <c:formatCode>0.00</c:formatCode>
                <c:ptCount val="9"/>
                <c:pt idx="0">
                  <c:v>86457.8</c:v>
                </c:pt>
                <c:pt idx="1">
                  <c:v>56621.41</c:v>
                </c:pt>
                <c:pt idx="2">
                  <c:v>51038.36</c:v>
                </c:pt>
                <c:pt idx="3">
                  <c:v>50117.440000000002</c:v>
                </c:pt>
                <c:pt idx="4">
                  <c:v>48363.79</c:v>
                </c:pt>
                <c:pt idx="5">
                  <c:v>16300.08</c:v>
                </c:pt>
                <c:pt idx="6">
                  <c:v>12218.96</c:v>
                </c:pt>
                <c:pt idx="7">
                  <c:v>9026.1299999999992</c:v>
                </c:pt>
                <c:pt idx="8">
                  <c:v>4472.92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3.</a:t>
            </a:r>
          </a:p>
          <a:p>
            <a:pPr algn="ctr"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асходов</a:t>
            </a:r>
          </a:p>
          <a:p>
            <a:pPr algn="ctr"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между 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ОИВ и ГУ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250517095767653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4"/>
          <c:dLbls>
            <c:dLbl>
              <c:idx val="0"/>
              <c:layout>
                <c:manualLayout>
                  <c:x val="0.28938813284177628"/>
                  <c:y val="0.15979221347331585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900"/>
                      <a:t>Органы исполнительной власти
4%</a:t>
                    </a:r>
                    <a:endParaRPr lang="ru-RU" sz="100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Государственные учреждения
96%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Лист6!$B$45:$C$45</c:f>
              <c:strCache>
                <c:ptCount val="2"/>
                <c:pt idx="0">
                  <c:v>Органы исполнительной власти</c:v>
                </c:pt>
                <c:pt idx="1">
                  <c:v>Государственные учреждения</c:v>
                </c:pt>
              </c:strCache>
            </c:strRef>
          </c:cat>
          <c:val>
            <c:numRef>
              <c:f>Лист6!$B$46:$C$46</c:f>
              <c:numCache>
                <c:formatCode>0.0</c:formatCode>
                <c:ptCount val="2"/>
                <c:pt idx="0">
                  <c:v>59173.24</c:v>
                </c:pt>
                <c:pt idx="1">
                  <c:v>1390612.273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Константиновна Гришина</dc:creator>
  <cp:lastModifiedBy>Наталья Ивановна Самсонова</cp:lastModifiedBy>
  <cp:revision>3</cp:revision>
  <cp:lastPrinted>2019-03-22T09:40:00Z</cp:lastPrinted>
  <dcterms:created xsi:type="dcterms:W3CDTF">2019-03-22T09:28:00Z</dcterms:created>
  <dcterms:modified xsi:type="dcterms:W3CDTF">2019-03-22T09:52:00Z</dcterms:modified>
</cp:coreProperties>
</file>