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08" w:rsidRDefault="000649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64908" w:rsidRDefault="00064908">
      <w:pPr>
        <w:pStyle w:val="ConsPlusNormal"/>
        <w:jc w:val="both"/>
        <w:outlineLvl w:val="0"/>
      </w:pPr>
    </w:p>
    <w:p w:rsidR="00064908" w:rsidRDefault="00064908">
      <w:pPr>
        <w:pStyle w:val="ConsPlusNormal"/>
        <w:outlineLvl w:val="0"/>
      </w:pPr>
      <w:r>
        <w:t xml:space="preserve">Зарегистрировано в Минюсте России 14 мая 2013 г. N </w:t>
      </w:r>
      <w:bookmarkStart w:id="0" w:name="_GoBack"/>
      <w:r>
        <w:t>28375</w:t>
      </w:r>
      <w:bookmarkEnd w:id="0"/>
    </w:p>
    <w:p w:rsidR="00064908" w:rsidRDefault="000649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064908" w:rsidRDefault="00064908">
      <w:pPr>
        <w:pStyle w:val="ConsPlusTitle"/>
        <w:jc w:val="center"/>
      </w:pPr>
    </w:p>
    <w:p w:rsidR="00064908" w:rsidRDefault="00064908">
      <w:pPr>
        <w:pStyle w:val="ConsPlusTitle"/>
        <w:jc w:val="center"/>
      </w:pPr>
      <w:r>
        <w:t>ПРИКАЗ</w:t>
      </w:r>
    </w:p>
    <w:p w:rsidR="00064908" w:rsidRDefault="00064908">
      <w:pPr>
        <w:pStyle w:val="ConsPlusTitle"/>
        <w:jc w:val="center"/>
      </w:pPr>
      <w:r>
        <w:t>от 18 февраля 2013 г. N 21</w:t>
      </w:r>
    </w:p>
    <w:p w:rsidR="00064908" w:rsidRDefault="00064908">
      <w:pPr>
        <w:pStyle w:val="ConsPlusTitle"/>
        <w:jc w:val="center"/>
      </w:pPr>
    </w:p>
    <w:p w:rsidR="00064908" w:rsidRDefault="00064908">
      <w:pPr>
        <w:pStyle w:val="ConsPlusTitle"/>
        <w:jc w:val="center"/>
      </w:pPr>
      <w:r>
        <w:t>ОБ УТВЕРЖДЕНИИ СОСТАВА И СОДЕРЖАНИЯ</w:t>
      </w:r>
    </w:p>
    <w:p w:rsidR="00064908" w:rsidRDefault="00064908">
      <w:pPr>
        <w:pStyle w:val="ConsPlusTitle"/>
        <w:jc w:val="center"/>
      </w:pPr>
      <w:r>
        <w:t>ОРГАНИЗАЦИОННЫХ И ТЕХНИЧЕСКИХ МЕР ПО ОБЕСПЕЧЕНИЮ</w:t>
      </w:r>
    </w:p>
    <w:p w:rsidR="00064908" w:rsidRDefault="00064908">
      <w:pPr>
        <w:pStyle w:val="ConsPlusTitle"/>
        <w:jc w:val="center"/>
      </w:pPr>
      <w:r>
        <w:t>БЕЗОПАСНОСТИ ПЕРСОНАЛЬНЫХ ДАННЫХ ПРИ ИХ ОБРАБОТКЕ</w:t>
      </w:r>
    </w:p>
    <w:p w:rsidR="00064908" w:rsidRDefault="00064908">
      <w:pPr>
        <w:pStyle w:val="ConsPlusTitle"/>
        <w:jc w:val="center"/>
      </w:pPr>
      <w:r>
        <w:t>В ИНФОРМАЦИОННЫХ СИСТЕМАХ ПЕРСОНАЛЬНЫХ ДАННЫХ</w:t>
      </w:r>
    </w:p>
    <w:p w:rsidR="00064908" w:rsidRDefault="00064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08" w:rsidRDefault="00064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08" w:rsidRDefault="000649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908" w:rsidRDefault="0006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7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</w:tr>
    </w:tbl>
    <w:p w:rsidR="00064908" w:rsidRDefault="00064908">
      <w:pPr>
        <w:pStyle w:val="ConsPlusNormal"/>
        <w:jc w:val="center"/>
      </w:pPr>
    </w:p>
    <w:p w:rsidR="00064908" w:rsidRDefault="000649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9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jc w:val="right"/>
      </w:pPr>
      <w:r>
        <w:t>Директор</w:t>
      </w:r>
    </w:p>
    <w:p w:rsidR="00064908" w:rsidRDefault="00064908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064908" w:rsidRDefault="00064908">
      <w:pPr>
        <w:pStyle w:val="ConsPlusNormal"/>
        <w:jc w:val="right"/>
      </w:pPr>
      <w:r>
        <w:t>и экспортному контролю</w:t>
      </w:r>
    </w:p>
    <w:p w:rsidR="00064908" w:rsidRDefault="00064908">
      <w:pPr>
        <w:pStyle w:val="ConsPlusNormal"/>
        <w:jc w:val="right"/>
      </w:pPr>
      <w:r>
        <w:t>В.СЕЛИН</w:t>
      </w: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jc w:val="right"/>
        <w:outlineLvl w:val="0"/>
      </w:pPr>
      <w:r>
        <w:t>Утверждены</w:t>
      </w:r>
    </w:p>
    <w:p w:rsidR="00064908" w:rsidRDefault="00064908">
      <w:pPr>
        <w:pStyle w:val="ConsPlusNormal"/>
        <w:jc w:val="right"/>
      </w:pPr>
      <w:r>
        <w:t>приказом ФСТЭК России</w:t>
      </w:r>
    </w:p>
    <w:p w:rsidR="00064908" w:rsidRDefault="00064908">
      <w:pPr>
        <w:pStyle w:val="ConsPlusNormal"/>
        <w:jc w:val="right"/>
      </w:pPr>
      <w:r>
        <w:t>от 18 февраля 2013 г. N 21</w:t>
      </w:r>
    </w:p>
    <w:p w:rsidR="00064908" w:rsidRDefault="00064908">
      <w:pPr>
        <w:pStyle w:val="ConsPlusNormal"/>
        <w:jc w:val="center"/>
      </w:pPr>
    </w:p>
    <w:p w:rsidR="00064908" w:rsidRDefault="00064908">
      <w:pPr>
        <w:pStyle w:val="ConsPlusTitle"/>
        <w:jc w:val="center"/>
      </w:pPr>
      <w:bookmarkStart w:id="1" w:name="P34"/>
      <w:bookmarkEnd w:id="1"/>
      <w:r>
        <w:t>СОСТАВ И СОДЕРЖАНИЕ</w:t>
      </w:r>
    </w:p>
    <w:p w:rsidR="00064908" w:rsidRDefault="00064908">
      <w:pPr>
        <w:pStyle w:val="ConsPlusTitle"/>
        <w:jc w:val="center"/>
      </w:pPr>
      <w:r>
        <w:t>ОРГАНИЗАЦИОННЫХ И ТЕХНИЧЕСКИХ МЕР ПО ОБЕСПЕЧЕНИЮ</w:t>
      </w:r>
    </w:p>
    <w:p w:rsidR="00064908" w:rsidRDefault="00064908">
      <w:pPr>
        <w:pStyle w:val="ConsPlusTitle"/>
        <w:jc w:val="center"/>
      </w:pPr>
      <w:r>
        <w:t>БЕЗОПАСНОСТИ ПЕРСОНАЛЬНЫХ ДАННЫХ ПРИ ИХ ОБРАБОТКЕ</w:t>
      </w:r>
    </w:p>
    <w:p w:rsidR="00064908" w:rsidRDefault="00064908">
      <w:pPr>
        <w:pStyle w:val="ConsPlusTitle"/>
        <w:jc w:val="center"/>
      </w:pPr>
      <w:r>
        <w:t>В ИНФОРМАЦИОННЫХ СИСТЕМАХ ПЕРСОНАЛЬНЫХ ДАННЫХ</w:t>
      </w:r>
    </w:p>
    <w:p w:rsidR="00064908" w:rsidRDefault="00064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08" w:rsidRDefault="00064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08" w:rsidRDefault="000649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1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908" w:rsidRDefault="0006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2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</w:tr>
    </w:tbl>
    <w:p w:rsidR="00064908" w:rsidRDefault="00064908">
      <w:pPr>
        <w:pStyle w:val="ConsPlusNormal"/>
        <w:jc w:val="center"/>
      </w:pPr>
    </w:p>
    <w:p w:rsidR="00064908" w:rsidRDefault="00064908">
      <w:pPr>
        <w:pStyle w:val="ConsPlusTitle"/>
        <w:jc w:val="center"/>
        <w:outlineLvl w:val="1"/>
      </w:pPr>
      <w:r>
        <w:t>I. Общие положения</w:t>
      </w:r>
    </w:p>
    <w:p w:rsidR="00064908" w:rsidRDefault="00064908">
      <w:pPr>
        <w:pStyle w:val="ConsPlusNormal"/>
        <w:jc w:val="center"/>
      </w:pPr>
    </w:p>
    <w:p w:rsidR="00064908" w:rsidRDefault="000649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3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4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5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064908" w:rsidRDefault="00064908">
      <w:pPr>
        <w:pStyle w:val="ConsPlusNormal"/>
        <w:spacing w:before="22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6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064908" w:rsidRDefault="00064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08" w:rsidRDefault="000649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4908" w:rsidRDefault="0006490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08" w:rsidRDefault="00064908">
            <w:pPr>
              <w:pStyle w:val="ConsPlusNormal"/>
            </w:pPr>
          </w:p>
        </w:tc>
      </w:tr>
    </w:tbl>
    <w:p w:rsidR="00064908" w:rsidRDefault="00064908">
      <w:pPr>
        <w:pStyle w:val="ConsPlusNormal"/>
        <w:spacing w:before="280"/>
        <w:ind w:firstLine="540"/>
        <w:jc w:val="both"/>
      </w:pPr>
      <w:r>
        <w:lastRenderedPageBreak/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7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Title"/>
        <w:jc w:val="center"/>
        <w:outlineLvl w:val="1"/>
      </w:pPr>
      <w:r>
        <w:t>II. Состав и содержание мер по обеспечению безопасности</w:t>
      </w:r>
    </w:p>
    <w:p w:rsidR="00064908" w:rsidRDefault="00064908">
      <w:pPr>
        <w:pStyle w:val="ConsPlusTitle"/>
        <w:jc w:val="center"/>
      </w:pPr>
      <w:r>
        <w:t>персональных данных</w:t>
      </w: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  <w:bookmarkStart w:id="2" w:name="P59"/>
      <w:bookmarkEnd w:id="2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lastRenderedPageBreak/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</w:t>
      </w:r>
      <w:r>
        <w:lastRenderedPageBreak/>
        <w:t>содержащимся в информационной системе, в штатном режиме функционирования информационной системы.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064908" w:rsidRDefault="00064908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33">
        <w:r>
          <w:rPr>
            <w:color w:val="0000FF"/>
          </w:rPr>
          <w:t>приложении</w:t>
        </w:r>
      </w:hyperlink>
      <w:r>
        <w:t xml:space="preserve"> к </w:t>
      </w:r>
      <w:r>
        <w:lastRenderedPageBreak/>
        <w:t>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064908" w:rsidRDefault="0006490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8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9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064908" w:rsidRDefault="00064908">
      <w:pPr>
        <w:pStyle w:val="ConsPlusNormal"/>
        <w:spacing w:before="220"/>
        <w:ind w:firstLine="540"/>
        <w:jc w:val="both"/>
      </w:pPr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 и 4 уровня доверия, а также средства вычислительной техники не ниже 5 класса;</w:t>
      </w:r>
    </w:p>
    <w:p w:rsidR="00064908" w:rsidRDefault="0006490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 и 5 уровня доверия, а также средства вычислительной техники не ниже 5 класса;</w:t>
      </w:r>
    </w:p>
    <w:p w:rsidR="00064908" w:rsidRDefault="0006490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5 класса;</w:t>
      </w:r>
    </w:p>
    <w:p w:rsidR="00064908" w:rsidRDefault="0006490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lastRenderedPageBreak/>
        <w:t>в информационных системах 4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6 класса.</w:t>
      </w:r>
    </w:p>
    <w:p w:rsidR="00064908" w:rsidRDefault="0006490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23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Указом Президента Российской Федерации от 16 августа 2004 г. N 1085.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Уровни доверия устанавливаются в соответствии с </w:t>
      </w:r>
      <w:hyperlink r:id="rId24">
        <w:r>
          <w:rPr>
            <w:color w:val="0000FF"/>
          </w:rPr>
          <w:t>Требованиями</w:t>
        </w:r>
      </w:hyperlink>
      <w:r>
        <w:t xml:space="preserve"> по безопасности информации, устанавливающими уровни доверия к средствам технической защиты информации и средствам обеспечения безопасности информационных технологий, утвержденными приказом ФСТЭК России от 30 июля 2018 г. N 131 (зарегистрирован Минюстом России 14 ноября 2018 г., регистрационный N 52686).</w:t>
      </w:r>
    </w:p>
    <w:p w:rsidR="00064908" w:rsidRDefault="00064908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t xml:space="preserve"> ФСТЭК России от 14.05.2020 N 68)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6">
        <w:r>
          <w:rPr>
            <w:color w:val="0000FF"/>
          </w:rPr>
          <w:t>Приказ</w:t>
        </w:r>
      </w:hyperlink>
      <w:r>
        <w:t xml:space="preserve"> ФСТЭК России от 14.05.2020 N 68.</w:t>
      </w:r>
    </w:p>
    <w:p w:rsidR="00064908" w:rsidRDefault="00064908">
      <w:pPr>
        <w:pStyle w:val="ConsPlusNormal"/>
        <w:jc w:val="both"/>
      </w:pPr>
      <w:r>
        <w:t xml:space="preserve">(п. 12 в ред. </w:t>
      </w:r>
      <w:hyperlink r:id="rId27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6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jc w:val="right"/>
        <w:outlineLvl w:val="1"/>
      </w:pPr>
      <w:r>
        <w:t>Приложение</w:t>
      </w:r>
    </w:p>
    <w:p w:rsidR="00064908" w:rsidRDefault="00064908">
      <w:pPr>
        <w:pStyle w:val="ConsPlusNormal"/>
        <w:jc w:val="right"/>
      </w:pPr>
      <w:r>
        <w:t>к Составу и содержанию</w:t>
      </w:r>
    </w:p>
    <w:p w:rsidR="00064908" w:rsidRDefault="00064908">
      <w:pPr>
        <w:pStyle w:val="ConsPlusNormal"/>
        <w:jc w:val="right"/>
      </w:pPr>
      <w:r>
        <w:t>организационных и технических</w:t>
      </w:r>
    </w:p>
    <w:p w:rsidR="00064908" w:rsidRDefault="00064908">
      <w:pPr>
        <w:pStyle w:val="ConsPlusNormal"/>
        <w:jc w:val="right"/>
      </w:pPr>
      <w:r>
        <w:t>мер по обеспечению безопасности</w:t>
      </w:r>
    </w:p>
    <w:p w:rsidR="00064908" w:rsidRDefault="00064908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064908" w:rsidRDefault="00064908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064908" w:rsidRDefault="00064908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064908" w:rsidRDefault="00064908">
      <w:pPr>
        <w:pStyle w:val="ConsPlusNormal"/>
        <w:jc w:val="right"/>
      </w:pPr>
    </w:p>
    <w:p w:rsidR="00064908" w:rsidRDefault="00064908">
      <w:pPr>
        <w:pStyle w:val="ConsPlusTitle"/>
        <w:jc w:val="center"/>
      </w:pPr>
      <w:bookmarkStart w:id="4" w:name="P133"/>
      <w:bookmarkEnd w:id="4"/>
      <w:r>
        <w:t>СОСТАВ И СОДЕРЖАНИЕ</w:t>
      </w:r>
    </w:p>
    <w:p w:rsidR="00064908" w:rsidRDefault="00064908">
      <w:pPr>
        <w:pStyle w:val="ConsPlusTitle"/>
        <w:jc w:val="center"/>
      </w:pPr>
      <w:r>
        <w:t>МЕР ПО ОБЕСПЕЧЕНИЮ БЕЗОПАСНОСТИ ПЕРСОНАЛЬНЫХ ДАННЫХ,</w:t>
      </w:r>
    </w:p>
    <w:p w:rsidR="00064908" w:rsidRDefault="00064908">
      <w:pPr>
        <w:pStyle w:val="ConsPlusTitle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064908" w:rsidRDefault="00064908">
      <w:pPr>
        <w:pStyle w:val="ConsPlusTitle"/>
        <w:jc w:val="center"/>
      </w:pPr>
      <w:r>
        <w:t>ЗАЩИЩЕННОСТИ ПЕРСОНАЛЬНЫХ ДАННЫХ</w:t>
      </w:r>
    </w:p>
    <w:p w:rsidR="00064908" w:rsidRDefault="0006490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102"/>
        <w:gridCol w:w="624"/>
        <w:gridCol w:w="624"/>
        <w:gridCol w:w="624"/>
        <w:gridCol w:w="624"/>
      </w:tblGrid>
      <w:tr w:rsidR="00064908">
        <w:tc>
          <w:tcPr>
            <w:tcW w:w="1474" w:type="dxa"/>
            <w:vMerge w:val="restart"/>
          </w:tcPr>
          <w:p w:rsidR="00064908" w:rsidRDefault="00064908">
            <w:pPr>
              <w:pStyle w:val="ConsPlusNormal"/>
              <w:jc w:val="center"/>
            </w:pPr>
            <w:r>
              <w:t xml:space="preserve">Условное обозначение </w:t>
            </w:r>
            <w:r>
              <w:lastRenderedPageBreak/>
              <w:t>и номер меры</w:t>
            </w:r>
          </w:p>
        </w:tc>
        <w:tc>
          <w:tcPr>
            <w:tcW w:w="5102" w:type="dxa"/>
            <w:vMerge w:val="restart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064908" w:rsidRDefault="00064908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064908">
        <w:tc>
          <w:tcPr>
            <w:tcW w:w="1474" w:type="dxa"/>
            <w:vMerge/>
          </w:tcPr>
          <w:p w:rsidR="00064908" w:rsidRDefault="00064908">
            <w:pPr>
              <w:pStyle w:val="ConsPlusNormal"/>
            </w:pPr>
          </w:p>
        </w:tc>
        <w:tc>
          <w:tcPr>
            <w:tcW w:w="5102" w:type="dxa"/>
            <w:vMerge/>
          </w:tcPr>
          <w:p w:rsidR="00064908" w:rsidRDefault="00064908">
            <w:pPr>
              <w:pStyle w:val="ConsPlusNormal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1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lastRenderedPageBreak/>
              <w:t>I. Идентификация и аутентификация субъектов доступа и объектов доступа (ИАФ)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Защита обратной связи при вводе аутентификационной информации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Ограничение неуспешных попыток входа в информационную систему (доступа к </w:t>
            </w:r>
            <w:r>
              <w:lastRenderedPageBreak/>
              <w:t>информационной системе)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УПД.7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запуском компонентов программного обеспечения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ОПС.2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IV. Защита машинных носителей персональных данных (ЗНИ)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РСБ.2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АНЗ.4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Контроль правил генерации и смены паролей </w:t>
            </w:r>
            <w:r>
              <w:lastRenderedPageBreak/>
              <w:t>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lastRenderedPageBreak/>
              <w:t>IX. Обеспечение целостности информационной системы и персональных данных (ОЦЛ)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Резервирование технических средств, программного обеспечения, каналов передачи информации, средств обеспечения </w:t>
            </w:r>
            <w:r>
              <w:lastRenderedPageBreak/>
              <w:t>функционирования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ОДТ.3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XI. Защита среды виртуализации (ЗСВ)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Разбиение виртуальной инфраструктуры на </w:t>
            </w:r>
            <w:r>
              <w:lastRenderedPageBreak/>
              <w:t>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lastRenderedPageBreak/>
              <w:t>XII. Защита технических средств (ЗТС)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064908" w:rsidRDefault="00064908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Обеспечение защиты персональных данных от раскрытия, модификации и навязывания (ввода </w:t>
            </w:r>
            <w:r>
              <w:lastRenderedPageBreak/>
              <w:t>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ЗИС.4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 xml:space="preserve">Исключение возможности отрицания пользователем факта отправки персональных </w:t>
            </w:r>
            <w:r>
              <w:lastRenderedPageBreak/>
              <w:t>данных другому пользователю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ЗИС.13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lastRenderedPageBreak/>
              <w:t>ИНЦ.6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9072" w:type="dxa"/>
            <w:gridSpan w:val="6"/>
          </w:tcPr>
          <w:p w:rsidR="00064908" w:rsidRDefault="00064908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  <w:tr w:rsidR="00064908">
        <w:tc>
          <w:tcPr>
            <w:tcW w:w="1474" w:type="dxa"/>
          </w:tcPr>
          <w:p w:rsidR="00064908" w:rsidRDefault="00064908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102" w:type="dxa"/>
          </w:tcPr>
          <w:p w:rsidR="00064908" w:rsidRDefault="00064908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064908" w:rsidRDefault="00064908">
            <w:pPr>
              <w:pStyle w:val="ConsPlusNormal"/>
              <w:jc w:val="center"/>
            </w:pPr>
            <w:r>
              <w:t>+</w:t>
            </w:r>
          </w:p>
        </w:tc>
      </w:tr>
    </w:tbl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064908" w:rsidRDefault="00064908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ind w:firstLine="540"/>
        <w:jc w:val="both"/>
      </w:pPr>
    </w:p>
    <w:p w:rsidR="00064908" w:rsidRDefault="000649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AF5" w:rsidRDefault="00B44AF5"/>
    <w:sectPr w:rsidR="00B44AF5" w:rsidSect="0052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8"/>
    <w:rsid w:val="00064908"/>
    <w:rsid w:val="00B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4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4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4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4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49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4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4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4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4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49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790E51BCFACF469CA8A74DAC66273F60F85759F3DE0294A56573C2C7592256D733403FBB4DFCC3C4CD55B1222A35AE5E5BC409C83CAB5p5w1L" TargetMode="External"/><Relationship Id="rId13" Type="http://schemas.openxmlformats.org/officeDocument/2006/relationships/hyperlink" Target="consultantplus://offline/ref=317790E51BCFACF469CA8A74DAC66273F60F85759F3DE0294A56573C2C7592256D733403FBB4DFCC3C4CD55B1222A35AE5E5BC409C83CAB5p5w1L" TargetMode="External"/><Relationship Id="rId18" Type="http://schemas.openxmlformats.org/officeDocument/2006/relationships/hyperlink" Target="consultantplus://offline/ref=317790E51BCFACF469CA8A74DAC66273F30E80749E3AE0294A56573C2C7592256D733403FBB4DCC4314CD55B1222A35AE5E5BC409C83CAB5p5w1L" TargetMode="External"/><Relationship Id="rId26" Type="http://schemas.openxmlformats.org/officeDocument/2006/relationships/hyperlink" Target="consultantplus://offline/ref=317790E51BCFACF469CA8A74DAC66273F108817F9A3BE0294A56573C2C7592256D733403FBB4DCC53C4CD55B1222A35AE5E5BC409C83CAB5p5w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7790E51BCFACF469CA8A74DAC66273F108817F9A3BE0294A56573C2C7592256D733403FBB4DCC4314CD55B1222A35AE5E5BC409C83CAB5p5w1L" TargetMode="External"/><Relationship Id="rId7" Type="http://schemas.openxmlformats.org/officeDocument/2006/relationships/hyperlink" Target="consultantplus://offline/ref=317790E51BCFACF469CA8A74DAC66273F108817F9A3BE0294A56573C2C7592256D733403FBB4DCC43E4CD55B1222A35AE5E5BC409C83CAB5p5w1L" TargetMode="External"/><Relationship Id="rId12" Type="http://schemas.openxmlformats.org/officeDocument/2006/relationships/hyperlink" Target="consultantplus://offline/ref=317790E51BCFACF469CA8A74DAC66273F108817F9A3BE0294A56573C2C7592256D733403FBB4DCC43E4CD55B1222A35AE5E5BC409C83CAB5p5w1L" TargetMode="External"/><Relationship Id="rId17" Type="http://schemas.openxmlformats.org/officeDocument/2006/relationships/hyperlink" Target="consultantplus://offline/ref=317790E51BCFACF469CA8A74DAC66273F60E84749B3BE0294A56573C2C7592256D733403FBB4DDC1304CD55B1222A35AE5E5BC409C83CAB5p5w1L" TargetMode="External"/><Relationship Id="rId25" Type="http://schemas.openxmlformats.org/officeDocument/2006/relationships/hyperlink" Target="consultantplus://offline/ref=317790E51BCFACF469CA8A74DAC66273F108817F9A3BE0294A56573C2C7592256D733403FBB4DCC5394CD55B1222A35AE5E5BC409C83CAB5p5w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7790E51BCFACF469CA8A74DAC66273F30E80749E3AE0294A56573C2C7592256D733403FBB4DCC4314CD55B1222A35AE5E5BC409C83CAB5p5w1L" TargetMode="External"/><Relationship Id="rId20" Type="http://schemas.openxmlformats.org/officeDocument/2006/relationships/hyperlink" Target="consultantplus://offline/ref=317790E51BCFACF469CA8A74DAC66273F108817F9A3BE0294A56573C2C7592256D733403FBB4DCC4304CD55B1222A35AE5E5BC409C83CAB5p5w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790E51BCFACF469CA8A74DAC66273F00C827E9F3EE0294A56573C2C7592256D733403FBB4DCC43D4CD55B1222A35AE5E5BC409C83CAB5p5w1L" TargetMode="External"/><Relationship Id="rId11" Type="http://schemas.openxmlformats.org/officeDocument/2006/relationships/hyperlink" Target="consultantplus://offline/ref=317790E51BCFACF469CA8A74DAC66273F00C827E9F3EE0294A56573C2C7592256D733403FBB4DCC43D4CD55B1222A35AE5E5BC409C83CAB5p5w1L" TargetMode="External"/><Relationship Id="rId24" Type="http://schemas.openxmlformats.org/officeDocument/2006/relationships/hyperlink" Target="consultantplus://offline/ref=317790E51BCFACF469CA8A74DAC66273F1098076993DE0294A56573C2C7592257F736C0FFAB5C2C43959830A54p7w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7790E51BCFACF469CA8A74DAC66273FB0E8E7F9B37BD23420F5B3E2B7ACD326A3A3802FBB4DCC73313D04E037AAF5AFAFBBD5F8081C8pBw4L" TargetMode="External"/><Relationship Id="rId23" Type="http://schemas.openxmlformats.org/officeDocument/2006/relationships/hyperlink" Target="consultantplus://offline/ref=317790E51BCFACF469CA8A74DAC66273F60D857E993DE0294A56573C2C7592256D733403FBB4DEC03F4CD55B1222A35AE5E5BC409C83CAB5p5w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7790E51BCFACF469CA8A74DAC66273FB0A8E739937BD23420F5B3E2B7ACD206A623403FAAADCC526458108p5w5L" TargetMode="External"/><Relationship Id="rId19" Type="http://schemas.openxmlformats.org/officeDocument/2006/relationships/hyperlink" Target="consultantplus://offline/ref=317790E51BCFACF469CA8A74DAC66273F108817F9A3BE0294A56573C2C7592256D733403FBB4DCC43F4CD55B1222A35AE5E5BC409C83CAB5p5w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790E51BCFACF469CA8A74DAC66273F60D857E993DE0294A56573C2C7592256D733403FBB4DCC03B4CD55B1222A35AE5E5BC409C83CAB5p5w1L" TargetMode="External"/><Relationship Id="rId14" Type="http://schemas.openxmlformats.org/officeDocument/2006/relationships/hyperlink" Target="consultantplus://offline/ref=317790E51BCFACF469CA8A74DAC66273F30E80749E3AE0294A56573C2C7592256D733403FBB4DCC4314CD55B1222A35AE5E5BC409C83CAB5p5w1L" TargetMode="External"/><Relationship Id="rId22" Type="http://schemas.openxmlformats.org/officeDocument/2006/relationships/hyperlink" Target="consultantplus://offline/ref=317790E51BCFACF469CA8A74DAC66273F108817F9A3BE0294A56573C2C7592256D733403FBB4DCC5384CD55B1222A35AE5E5BC409C83CAB5p5w1L" TargetMode="External"/><Relationship Id="rId27" Type="http://schemas.openxmlformats.org/officeDocument/2006/relationships/hyperlink" Target="consultantplus://offline/ref=317790E51BCFACF469CA8A74DAC66273F00C827E9F3EE0294A56573C2C7592256D733403FBB4DCC4314CD55B1222A35AE5E5BC409C83CAB5p5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2023-01-11T11:48:00Z</dcterms:created>
  <dcterms:modified xsi:type="dcterms:W3CDTF">2023-01-11T11:49:00Z</dcterms:modified>
</cp:coreProperties>
</file>