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W w:w="0" w:type="auto"/>
        <w:tblInd w:w="0" w:type="dxa"/>
        <w:tblBorders>
          <w:top w:val="none" w:sz="6" w:space="0" w:shadow="0" w:frame="0" w:color="000000"/>
          <w:left w:val="none" w:sz="6" w:space="0" w:shadow="0" w:frame="0" w:color="000000"/>
          <w:bottom w:val="none" w:sz="6" w:space="0" w:shadow="0" w:frame="0" w:color="000000"/>
          <w:right w:val="none" w:sz="6" w:space="0" w:shadow="0" w:frame="0" w:color="000000"/>
          <w:insideH w:val="none" w:sz="6" w:space="0" w:shadow="0" w:frame="0" w:color="000000"/>
          <w:insideV w:val="none" w:sz="6" w:space="0" w:shadow="0" w:frame="0" w:color="00000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Утв. приказом Минфина РФ </w:t>
              <w:br w:type="textWrapping"/>
              <w:t xml:space="preserve">от 28 декабря 2010 г. № 191н </w:t>
              <w:br w:type="textWrapping"/>
            </w:r>
            <w:r>
              <w:rPr>
                <w:rFonts w:ascii="Times New Roman" w:hAnsi="Times New Roman" w:cs="Times New Roman" w:eastAsia="Times New Roman"/>
                <w:i w:val="1"/>
                <w:sz w:val="20"/>
                <w:szCs w:val="20"/>
              </w:rPr>
              <w:t>(в ред. от 16 ноября 2016 г.)</w:t>
            </w:r>
          </w:p>
        </w:tc>
      </w:tr>
    </w:tbl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vanish w:val="1"/>
          <w:sz w:val="24"/>
          <w:szCs w:val="24"/>
        </w:rPr>
        <w:t> </w:t>
      </w:r>
    </w:p>
    <w:tbl>
      <w:tblPr>
        <w:tblW w:w="10951" w:type="dxa"/>
        <w:tblInd w:w="9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1"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КОДЫ</w:t>
            </w: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43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Форма по ОКУД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0503160</w:t>
            </w:r>
          </w:p>
        </w:tc>
      </w:tr>
      <w:tr>
        <w:trPr>
          <w:trHeight w:hRule="atLeast"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                       на   1 января 2025 г.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Дата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01.01.2025</w:t>
            </w:r>
          </w:p>
        </w:tc>
      </w:tr>
      <w:tr>
        <w:trPr>
          <w:trHeight w:hRule="atLeast"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Код субъекта </w:t>
            </w:r>
          </w:p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бюджетной отчетности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ГРБС</w:t>
            </w:r>
          </w:p>
        </w:tc>
      </w:tr>
      <w:tr>
        <w:trPr>
          <w:trHeight w:hRule="atLeast"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 ОКПО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00098097</w:t>
            </w: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rPr>
          <w:trHeight w:hRule="atLeast"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195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0"/>
              </w:rPr>
            </w:pPr>
          </w:p>
        </w:tc>
      </w:tr>
      <w:t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Комитет цифрового развития Ленинградской области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     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 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Глава по БК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252</w:t>
            </w:r>
          </w:p>
        </w:tc>
      </w:tr>
      <w:tr>
        <w:trPr>
          <w:trHeight w:hRule="atLeast"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Областной бюджет Ленинградской области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 </w:t>
            </w:r>
          </w:p>
          <w:p>
            <w:pPr>
              <w:spacing w:lineRule="atLeast" w:line="210"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 xml:space="preserve">   </w:t>
            </w: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210" w:before="0" w:after="0" w:beforeAutospacing="0" w:afterAutospacing="0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по ОКТМО</w:t>
            </w:r>
          </w:p>
        </w:tc>
        <w:tc>
          <w:tcPr>
            <w:tcW w:w="2572" w:type="dxa"/>
            <w:tcBorders>
              <w:top w:val="nil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tLeast" w:line="210"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  <w:t>41000000</w:t>
            </w:r>
          </w:p>
        </w:tc>
      </w:tr>
      <w:tr>
        <w:trPr>
          <w:trHeight w:hRule="atLeast"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nil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240" w:after="240" w:beforeAutospacing="1" w:afterAutospacing="1"/>
              <w:ind w:left="0" w:right="0"/>
              <w:jc w:val="righ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    по ОКЕИ</w:t>
            </w:r>
          </w:p>
        </w:tc>
        <w:tc>
          <w:tcPr>
            <w:tcW w:w="257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383</w:t>
            </w:r>
          </w:p>
        </w:tc>
      </w:tr>
      <w:tr>
        <w:trPr>
          <w:trHeight w:hRule="atLeast"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2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2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w="1095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</w:tbl>
    <w:p>
      <w:pPr>
        <w:spacing w:before="0" w:after="0" w:beforeAutospacing="0" w:afterAutospacing="0"/>
        <w:ind w:firstLine="56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1. Организационная структура субъекта бюджетной отчетности</w:t>
      </w:r>
    </w:p>
    <w:p>
      <w:pPr>
        <w:spacing w:before="0" w:after="0" w:beforeAutospacing="0" w:afterAutospacing="0"/>
        <w:ind w:firstLine="56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u w:val="single"/>
        </w:rPr>
        <w:t>Комитет цифрового развития Ленинградской области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(далее – Комитет) является органом исполнительной власти Ленинградской области, осуществляющим государственную политику Ленинградской области в сфере информатизации, информационных технологий, защиты информации, связи, оказания государственных и муниципальных услуг в электронном виде, использования результатов космической деятельности, а также координирующим и обеспечивающим деятельность органов исполнительной власти Ленинградской области в указанной сфере.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соответствии с Федеральным законом от 08.08.2001 № 129-ФЗ «О государственной регистрации юридических лиц и индивидуальных предпринимателей» Межрайонной инспекцией Федеральной налоговой службы № 15 по Санкт-Петербургу 09.01.2019 года зарегистрировано внесение изменений в учредительные документы Комитета, в связи со сменой наименования, о чем в единый государственный реестр юридических лиц внесена запись за государственным номером 2197847048793 (ОГРН 1089847002607 ИНН 7842375557 КПП 784201001).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Положение о Комитете в новой редакции утверждено постановлением Правительства Ленинградской области от 05.08.2024 № 534 "Об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области" (далее – Положение).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Основными направлениями деятельности Комитета в соответствии с Положением являются: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осуществление координации в сфере цифровой трансформации Ленинградской области, в том числе в сфере создания государственных информационных ресурсов, необходимых для выполнения основных функций государственного управления, обеспечения доступности данных для граждан и организаций;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организация, создание, развитие и эксплуатация технологических платформ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обеспечение совместимости государственной информационной системы в области гражданской службы Ленинградской области с соответствующей федеральной государственной информационной системой;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организация создания, модернизации, развития, эксплуатации государственных информационных систем Ленинградской области на основании федеральных, областных законов и иных правовых актов;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организация создания, развития и функционирования государственных информационных систем для оказания государственных и муниципальных услуг в электронном виде, оказываемых федеральными органами исполнительной власти на территории Ленинградской области, органами исполнительной власти Ленинградской области и органами местного самоуправления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осуществление полномочий собственника Единой сети передачи данных Ленинградской области, организация ее создания и развития, регулирование отношений, связанных с использованием Единой сети передачи данных органами государственной власти и органами местного самоуправления Ленинградской области, подведомственными им государственными и муниципальными учреждениями;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содействие организациям связи, оказывающим универсальные услуги связи, в получении и(или) строительстве сооружений связи и помещений, предназначенных для оказания универсальных услуг связи, а также вправе участвовать в реализации иных мероприятий, направленных на создание, развитие, эксплуатацию сетей связи и сооружений связи на территории Ленинградской области, муниципальных образований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осуществление создания, пополнения и использования слоев электронных цифровых карт на основе обработки данных дистанционного зондирования Земли на территории Ленинградской области, координирование использования электронных цифровых карт органами исполнительной власти Ленинградской области и органами местного самоуправления Ленинградской области, а также подведомственными им государственными и муниципальными учреждениями;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координация деятельность органов исполнительной власти Ленинградской области и органов местного самоуправления Ленинградской области, а также подведомственных им учреждений, предприятий, связанную с внедрением, развитием, интеграцией с другими государственными информационными системами Ленинградской области ("ЭРА-ГЛОНАСС");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организация мероприятий по обеспечению безопасности значимых объектов критической информационной инфраструктуры, принадлежащих Ленинградской области, в соответствии с требованиями федерального органа исполнительной власти, уполномоченного в области обеспечения безопасности критической информационной инфраструктуры Российской Федерации, и федерального органа исполнительной власти, уполномоченного в области обеспечения функционирования государственной системы обнаружения, предупреждения и ликвидации последствий компьютерных атак на информационные ресурсы Российской Федерации;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организация мероприятия по переходу на использование отечественного программного обеспечения, отечественных разработок и технологий при передаче, обработке и хранении данных в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Юридический адрес: 191311, Санкт-Петербург, Суворовский проспект, д.67.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Председатель Комитета  - Сытник Андрей Сергеевич (распоряжение Губернатора Ленинградской области от 23.08.2021 № 803-рг).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Начальник отдела бюджетного учета и государственных закупок – главный бухгалтер - Славинская Екатерина Георгиевна (распоряжением Аппарата Губернатора и Правительства Ленинградской области от 15.02.2019 № 3.2-03/104).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ведении Комитета находятся одно учреждение - государственное казенное учреждение Ленинградской области «Оператор «электронного правительства» (сокращенное наименование ГКУ ЛО «ОЭП»);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ГКУ ЛО «ОЭП» является специально уполномоченной государственной организацией, ответственной за создание и обеспечение функционирования межведомственных информационных систем и инфраструктуры «электронного правительства» в Ленинградской области, а также информационных систем обеспечения деятельности Губернатора и Правительства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Финансовое и материально – техническое обеспечение деятельности Комитета и подведомственного учреждения осуществляется в установленном порядке за счет средств областного бюджета Ленинградской области.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как субъект бюджетной отчетности осуществляет бюджетные полномочия главного распорядителя бюджетных средств и главного администратора доходов областного бюджета Ленинградской области. Подведомственное учреждение наделено правом получателя средств областного бюджета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Для исполнения возложенных полномочий Комитету и подведомственному учреждению открыты лицевые счета в комитете финансов Ленинградской области и в Управлении Федерального казначейства по Ленинградской области.</w:t>
      </w:r>
    </w:p>
    <w:p>
      <w:pPr>
        <w:spacing w:before="0" w:after="0" w:beforeAutospacing="0" w:afterAutospacing="0"/>
        <w:ind w:firstLine="56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кредитных организациях счета не открывались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Имущество учреждения является государственной собственностью Ленинградской области и закреплено за ними на праве оперативного управления.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Бухгалтерский учет в Комитете и подведомственном учреждении осуществляется отдельными структурными подразделениями в соответствии с Бюджетным кодексом Российской Федерации, Федеральным законом от 06.12.2011 №402-ФЗ «О бухгалтерском учете», планом счетов бюджетного учета и инструкции по его применению, утвержденных приказом Министерства финансов России от 01.12.2010 №157Н , федеральными стандартами бухгалтерского учета для организаций государственного сектора, а также утвержденными положениями об учетной политике.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Налоговый учет ведется в соответствии с действующим законодательством.</w:t>
      </w:r>
    </w:p>
    <w:p>
      <w:pPr>
        <w:spacing w:before="0" w:after="0" w:beforeAutospacing="0" w:afterAutospacing="0"/>
        <w:ind w:firstLine="56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2. Результаты деятельности субъекта бюджетной отчетности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bookmarkStart w:id="0" w:name="OLE_LINK32"/>
      <w:bookmarkEnd w:id="0"/>
      <w:bookmarkStart w:id="1" w:name="OLE_LINK28"/>
      <w:bookmarkEnd w:id="1"/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bookmarkStart w:id="2" w:name="OLE_LINK188"/>
      <w:bookmarkEnd w:id="2"/>
      <w:bookmarkStart w:id="3" w:name="OLE_LINK187"/>
      <w:bookmarkEnd w:id="3"/>
      <w:bookmarkStart w:id="4" w:name="OLE_LINK189"/>
      <w:bookmarkEnd w:id="4"/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состоянию на 01.01.2025 Комитетом и подведомственными учреждениями приняты бюджетные обязательства на 2024 год в сумме 2 974 638 430,96 руб., в том числе заключено государственных контрактов на сумму 2 880 044 209,06 руб.,</w:t>
      </w: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из них с применением конкурсных процедур – 2 751 606 850,43 руб.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Утверждено бюджетных  ассигнований на сумму 2 992 606 809,41 руб., объем закупок составляет 2 898 012 575,81 руб.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Доля принятых бюджетных обязательств в годовом объеме бюджетных назначений, утвержденных законом о бюджете на 2024 год, составляет 99,4%.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Доля стоимости заключенных государственных контрактов в совокупном годовом объеме закупок за 2024 год составляет 99,4%.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Комитетом и подведомственным учреждением проводились следующие мероприятия, характеризующие результаты деятельности за отчетный период:  </w:t>
      </w:r>
    </w:p>
    <w:p>
      <w:pPr>
        <w:numPr>
          <w:ilvl w:val="0"/>
          <w:numId w:val="1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рамках государственной программы Ленинградской области «Развитие здравоохранения в Ленинградской области» предусмотрена реализация  регионального проекта "Создание единого цифрового контура в здравоохранении на основе единой государственной информационной системы здравоохранения Ленинградской области", в том числе за счет средств федерального бюджета Российской Федерации.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отчетном периоде в соответствии с условиями заключенных государственных контрактов выполнялись работы (оказывались услуги):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развитию централизованной подсистемы «Льготное лекарственное обеспечение»;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развитию подсистемы диспетчерской службы скорой медицинской помощи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сопровождению подсистемы диспетчерской службы скорой медицинской помощи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сопровождению подсистемы «Центральный архив медицинских изображений»;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сопровождению регионального сегмента единой государственной информационной системы здравоохранения;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сопровождению централизованной подсистемы «Льготное лекарственное обеспечение»;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сопровождению медицинской информационной системы «1С:Медицина. Больница» в медицинских организациях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предоставлению неисключительных прав использования программного обеспечения и его установке и настройке в целях расширения функциональных возможностей регионального сегмента единой государственной информационной системы здравоохранения;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миграции программного обеспечения и синхронизации данных на новых серверных мощностях подсистемы «Центральный архив медицинских изображений» регионального сегмента единой государственной информационной системы здравоохранения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адаптации алгоритмов выгрузки и интеграции подсистемы «Льготное лекарственное обеспечение» регионального сегмента единой государственной информационной системы здравоохранения с федеральным регистром льготного лекарственного обеспечения;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модернизации регионального сегмента единой государственной информационной системы здравоохранения Ленинградской области с целью перехода на единую централизованную медицинскую информационную систему;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 по обследованию и подключению диагностического оборудования к подсистеме «Центральный архив медицинских изображений» регионального сегмента единой государственной информационной системы здравоохранения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Осуществлена поставка АРМ  и лицензий для нужд станций скорой медицинской помощи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 В рамках реализации государственной программы Ленинградской области «Цифровое развитие Ленинградской области»: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2.1. В целях организации доступа к единой сети передачи данных Ленинградской области (далее – ЕСПД) для нужд Администрации Ленинградской области оказывались следующие услуги: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предоставление цифровых каналов связи для ЕСПД;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предоставление короткого телефонного номера «147» на территории Санкт-Петербурга и Ленинградской области и организацию автоматизированного перевода с него входящих вызовов на номер единого кол-центра;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предоставление IP телефонии для социально значимых объектов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предоставление широкополосного доступа через волоконно-оптическую линию связи к информационно-телекоммуникационной сети «Интернет» </w:t>
        <w:br w:type="textWrapping"/>
        <w:t>для обеспечения нужд Администрации Ленинградской области и социально значимых объектов;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обеспечение аппаратно-программного комплекса «Безопасный город» услугами связи на территории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2.2. В целях обеспечения соответствия требованиям безопасности информации объектов информатизации Ленинградской области: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осуществляется сопровождение и обслуживание подсистемы межсетевого экранирования и систем защиты информации информационных систем ОИВ ЛО, защищенного сегмента ЕСПД;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приобретены лицензии на средства криптографической защиты информации для нужд ОИВ ЛО;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оказываются услуги по мониторингу и защите входящего трафика от внешних DoS/DDoS-атак, осуществляемых третьими лицами из информационной-телекоммуникационной сети «Интернет» на информационные ресурсы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- оказываются услуги по обнаружению и предупреждению компьютерных атак и подключению к Государственной системе обнаружения, предупреждения </w:t>
        <w:br w:type="textWrapping"/>
        <w:t>и ликвидации последствий компьютерных атак;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осуществлена поставка программно-аппаратных комплексов для защищённой сети ViPNet 6440 электронного правительства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 оказываются услуги по фильтрации трафика для нужд Администрации Ленинградской области.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2.3. Обеспечено устойчивое функционирование аппаратного комплекса ЕСПД Администрации Ленинградской области. Осуществлялось обслуживание и модернизация сети.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2.4. В целях обеспечения деятельности ОИВ ЛО осуществлялось поддержание работоспособного состояния автоматизированных рабочих мест сотрудников ОИВ ЛО, включая обеспечение доступа к информационным ресурсам и сопровождение отдельных программных продуктов.</w:t>
      </w:r>
    </w:p>
    <w:p>
      <w:pPr>
        <w:shd w:val="clear" w:fill="FFFFFF"/>
        <w:spacing w:before="0" w:after="0" w:beforeAutospacing="0" w:afterAutospacing="0"/>
        <w:ind w:firstLine="56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2.5. Обеспечено устойчивое функционирование системы видеоконференцсвязи (далее – ВКС) Администрации Ленинградской области, проводились звукоусиление и звукозапись в залах совещаний и на выездных мероприятиях, а также организация ВКС в условиях удаленного доступа (всего проведено 8 879 сеансов ВКС).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2.6. Обеспечена бесперебойная работа центра обработки данных для ОИВ ЛО (далее – ЦОД) (сопровождение серверного оборудования, систем хранения данных, телекоммуникационного оборудования, базового и специального программного обеспечения). В целях организации дополнительных вычислительных ресурсов ЦОД осуществлялась аренда серверных стоек.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2.7. Обеспечивалась работоспособность следующих информационных систем, в том числе техническая поддержка пользователей: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цифровая платформа «Госуслуги»;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автоматизированная информационная система управления имуществом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информационная система управления общественными финансами «Открытый бюджет»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информационная система «Управление бюджетным процессом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региональная информационная система «Планирование и мониторинг мероприятий, проводимых в отношении объектов капитальных вложений </w:t>
        <w:br w:type="textWrapping"/>
        <w:t>в Ленинградской области, реализуемых за счет бюджетных средств»;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система электронного документооборота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жилищного надзора и контроля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государственная информационная система «Система автоматизации функций тарифного регулирования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ГИС ЛО «Обеспечение деятельности Межведомственной рабочей группы </w:t>
        <w:br w:type="textWrapping"/>
        <w:t>по рассмотрению вопросов, связанных с приведением в соответствие сведений Единого государственного реестра недвижимости и государственного лесного реестра на территории ЛО»;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обеспечения градостроительной деятельности;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информационно-аналитическая система «Ситуационный центр Губернатора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автоматизированная информационная система Ленинградской области «Подготовка планов информатизации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Ленинградской области «Региональная геоинформационная система»;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«Региональный кадастр отходов Ленинградской области»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информационная система выдачи и переоформления разрешений </w:t>
        <w:br w:type="textWrapping"/>
        <w:t xml:space="preserve">на осуществление деятельности по перевозке пассажиров и багажа легковым такси </w:t>
        <w:br w:type="textWrapping"/>
        <w:t>в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«Современное образование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автоматизированная информационная система сбора оперативных данных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информационно-аналитическая система управления развитием агропромышленного и рыбохозяйственного комплекса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информационная система управления активами топливно-энергетического комплекса;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информационная система «Прием конкурсных заявок от субъектов малого предпринимательства на предоставление субсидий»;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Ленинградской области «Единая информационная система учёта граждан, проживающих в Ленинградской области, нуждающихся в улучшении жилищных условий»;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экологическая информационная система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государственная информационная система жилищно-коммунального хозяйства;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информационная система «Архивы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государственная информационная система «Гостехнадзор Эксперт»;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в области гражданской службы Ленинградской области «Информационная система управления государственными и муниципальными служащими в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автоматизированный комплекс оценки профессиональной пригодности кандидатов на замещение вакантных должностей государственной гражданской службы в органах исполнительной власти и аппаратах мировых судей ЛО (АК"Конкурс-кадры");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автоматической информационной системы анализа информации в целях предотвращения конфликта интересов.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2.8. В соответствии с условиями заключенных государственных контрактов в отчетном периоде выполнялись работы по развитию следующих информационных систем: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цифровая платформа «Госуслуги»;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автоматизированная информационная система управления имуществом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информационной системы «Управление бюджетным процессом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система электронного документооборота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обеспечения градостроительной деятельности;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информационно-аналитическая система «Ситуационный центр Губернатора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автоматизированная информационная система Ленинградской области «Подготовка планов информатизации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Ленинградской области «Региональная геоинформационная система»;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«Современное образование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информационно-аналитическая система управления развитием агропромышленного и рыбохозяйственного комплекса Ленинградской области;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государственная информационная система жилищно-коммунального хозяйства;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региональная информационная система «Архивы Ленинградской области»;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государственная информационная система в области гражданской службы Ленинградской области «Информационная система управления государственными и муниципальными служащими в Ленинградской области;</w:t>
      </w:r>
    </w:p>
    <w:p>
      <w:pPr>
        <w:spacing w:before="0" w:after="0" w:beforeAutospacing="0" w:afterAutospacing="0"/>
        <w:ind w:hanging="360" w:left="720" w:right="0"/>
        <w:jc w:val="both"/>
        <w:outlineLvl w:val="9"/>
      </w:pPr>
      <w:r>
        <w:rPr>
          <w:rFonts w:ascii="Arial" w:hAnsi="Arial" w:cs="Arial" w:eastAsia="Arial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2.9. Осуществлялись функции удостоверяющего центра, выдан 1 011 сертификат квалифицированной электронной подписи ОИВ ЛО и подведомственным им учреждениям для обеспечения легитимности работы в региональных информационных системах.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2.10. Выполнялись работы по созданию подсистемы "new.lenobl.ru" государственной информационной системы "Официальный интернет-портал Администрации Ленинградской области".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2.11. Выполнялись работы по созданию цифровой картографической основы Ленинградской области  с высоким пространственным разрешением.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3. В рамках реализации государственной программы Ленинградской области «Социальная поддержка отдельных категорий граждан в Ленинградской области» осуществлена ежегодная выплата 19 молодым специалистам - работникам ГКУ ЛО «ОЭП», с которыми заключены договоры о предоставлении социальной поддержки.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За 2024 год по программам повышения квалификации прошли обучение 59 человек, из них 28 сотрудников Комитета, 31 специалист ГКУ ЛО «ОЭП».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Штатная численность работников составляет:</w:t>
      </w:r>
    </w:p>
    <w:p>
      <w:pPr>
        <w:numPr>
          <w:ilvl w:val="0"/>
          <w:numId w:val="2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– 33 ед.;</w:t>
      </w:r>
    </w:p>
    <w:p>
      <w:pPr>
        <w:numPr>
          <w:ilvl w:val="0"/>
          <w:numId w:val="2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ГКУ ЛО «ОЭП» – 70 ед.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состоянию на отчетную дату имущество, закрепленное за Комитетом и подведомственным учреждением на праве оперативного управления, находится в технически исправном состоянии и используется по назначению. Материально – ответственными лицами обеспечена сохранность данного имущества. Средний срок полезного использования составляет от 3 до 5 лет.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Учреждение осуществляет постоянный контроль за эффективным использованием основных средств.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bookmarkStart w:id="5" w:name="OLE_LINK104"/>
      <w:bookmarkEnd w:id="5"/>
      <w:bookmarkStart w:id="6" w:name="OLE_LINK103"/>
      <w:bookmarkEnd w:id="6"/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и подведомственное ему учреждение осуществляют реализацию следующих государственных программ Ленинградской области (далее – ГП ЛО):</w:t>
      </w:r>
    </w:p>
    <w:p>
      <w:pPr>
        <w:numPr>
          <w:ilvl w:val="0"/>
          <w:numId w:val="3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ГП ЛО «Цифровое развитие Ленинградской области Ленинградской области»: Комитет определен ответственным исполнителем, ГКУ ЛО «ОЭП» выступает в качестве участника государственной программы;</w:t>
      </w:r>
    </w:p>
    <w:p>
      <w:pPr>
        <w:numPr>
          <w:ilvl w:val="0"/>
          <w:numId w:val="3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ГП ЛО «Развитие здравоохранения в Ленинградской области»: ГКУ ЛО «ОЭП» является участником государственной программы.</w:t>
      </w:r>
    </w:p>
    <w:p>
      <w:pPr>
        <w:numPr>
          <w:ilvl w:val="0"/>
          <w:numId w:val="3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ГП ЛО «Социальная поддержка отдельных категорий граждан в Ленинградской области»: Комитет является участником государственной программы.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отчетном периоде установленные плановые значения целевых показателей (индикаторов) государственных программ Ленинградской области достигнуты Комитетом и подведомственными ему учреждениями в полном объеме.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Объем запланированных (израсходованных) бюджетных средств на 2024 год, направленных на выполнение ГП ЛО, приведен в разделе 3 пояснительной записки.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3. Анализ отчета об исполнении бюджета субъектом бюджетной отчетности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Комитет и подведомственное учреждение являются администраторами доходов областного бюджета Ленинградской области. Распоряжениями Комитета определен перечень кодов бюджетной классификации доходов, администраторами которых являются Комитет и подведомственное учреждение.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За отчетный период в доходную часть областного бюджета Ленинградской области поступили денежные средства в размере 5 161 391,40 руб., в том числе: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hd w:val="clear" w:fill="FFFFFF"/>
        <w:spacing w:before="0" w:after="0" w:beforeAutospacing="0" w:afterAutospacing="0"/>
        <w:ind w:firstLine="42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по коду дохода 252 1 13 0299202 0000 130 в сумме 93 928,03 руб.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– возврат денежных средств за почтовые услуги;</w:t>
      </w:r>
    </w:p>
    <w:p>
      <w:pPr>
        <w:spacing w:before="0" w:after="0" w:beforeAutospacing="0" w:afterAutospacing="0"/>
        <w:ind w:firstLine="4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FF0000"/>
          <w:sz w:val="28"/>
          <w:szCs w:val="28"/>
        </w:rPr>
        <w:t> </w:t>
      </w:r>
    </w:p>
    <w:p>
      <w:pPr>
        <w:spacing w:before="0" w:after="0" w:beforeAutospacing="0" w:afterAutospacing="0"/>
        <w:ind w:firstLine="4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 xml:space="preserve">по коду дохода 252 1 16 0709002 0000 140 в сумме 5 067 463,37 руб. –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пени (штрафы, неустойки) по государственным контрактам в связи с нарушением их условий.</w:t>
      </w:r>
    </w:p>
    <w:p>
      <w:pPr>
        <w:spacing w:before="0" w:after="0" w:beforeAutospacing="0" w:afterAutospacing="0"/>
        <w:ind w:firstLine="68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Бюджетные назначения, утвержденные законом о бюджете Ленинградской области на 2024 год, составляют 2 992 606 809,41 руб., исполнение – 2 971 906 936,81 руб., что составляет 99,3% от общего объема утвержденных назначений.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областном бюджете Ленинградской области на 2024 год Комитету и подведомственному учреждению на реализацию мероприятий государственных программ Ленинградской области предусмотрены бюджетные ассигнования в сумме 2 990 370 063,01 руб., исполнение за 2024 год составило 2 969 670 194,40 руб., в том числе:</w:t>
      </w:r>
    </w:p>
    <w:p>
      <w:pPr>
        <w:numPr>
          <w:ilvl w:val="0"/>
          <w:numId w:val="4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государственной программе Ленинградской области «Цифровое развитие Ленинградской области»: предусмотрено – 2 740 943 966,00 руб., исполнено – 1 771 367 177,56 руб., что составляет 99,2% от запланированных расходов.</w:t>
      </w:r>
    </w:p>
    <w:p>
      <w:pPr>
        <w:numPr>
          <w:ilvl w:val="0"/>
          <w:numId w:val="4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государственной программе «Развитие здравоохранения в Ленинградской области» предусмотрено – 247 526 097,01 руб., исполнено – 2 720 387 098,50 руб., что составляет 99,9% от запланированных расходов.</w:t>
      </w:r>
    </w:p>
    <w:p>
      <w:pPr>
        <w:numPr>
          <w:ilvl w:val="0"/>
          <w:numId w:val="4"/>
        </w:numPr>
        <w:shd w:val="clear" w:fill="auto"/>
        <w:spacing w:before="0" w:after="0" w:beforeAutospacing="0" w:afterAutospacing="0"/>
        <w:ind w:hanging="360" w:left="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государственной программе «Социальная поддержка отдельных категорий граждан в Ленинградской области» предусмотрено – 1 900 000,00  руб., исполнено – 1 900 000,00 руб., что составляет 100% от запланированных расходов.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 конец отчетного периода неисполненные лимиты бюджетных обязательств и бюджетных ассигнований составили 20 699 872,60 руб.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Сведения об исполнении бюджета представлены в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форме 0503164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4. Анализ показателей бухгалтерской отчетности субъекта бюджетной отчетности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Балансовая стоимость основных средств на конец отчетного периода составляет 2 955 373 661,73 руб. Остаточная стоимость основных средств составляет 1 497 747 096,50 руб.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Балансовая стоимость нематериальных активов (программное обеспечение и базы данных) на конец отчетного периода составляет 3 169 797 551,38 руб. Остаточная стоимость нематериальных активов составляет 2 898 360 976,85 руб.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Стоимость материальных запасов на конец отчетного периода составляет 46 535 914,73 руб., прав пользования программным обеспечением и базами данных на конец отчетного периода составляет 853 538 267,93 руб.</w:t>
      </w:r>
    </w:p>
    <w:p>
      <w:pPr>
        <w:spacing w:before="0" w:after="0" w:beforeAutospacing="0" w:afterAutospacing="0"/>
        <w:ind w:firstLine="70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Обобщенные за отчетный период данные о движении нефинансовых активов по бюджетной деятельности приведены в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форме 0503168.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Дебиторская задолженность по состоянию на 01.01.2025 года в целом по Комитету составляет – 9 371 815,67 руб., в том числе просроченная задолженность – 2 284 460,56 руб., </w:t>
      </w:r>
      <w:bookmarkStart w:id="7" w:name="OLE_LINK61"/>
      <w:bookmarkEnd w:id="7"/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по счету 1 209 41 штрафы и пени за просрочку обязательств по государственным контрактам на поставку товаров, оказание услуг, выполнение работ. 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 разрезе контрагентов показатели просроченной задолженности  составляют менее 1 млн.руб., в связи с чем раздел 2 формы 0503169 не заполняется.</w:t>
      </w:r>
    </w:p>
    <w:p>
      <w:pPr>
        <w:spacing w:before="0" w:after="0" w:beforeAutospacing="0" w:afterAutospacing="0"/>
        <w:ind w:firstLine="8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Кредиторская задолженность по состоянию на 01.01.2025 в целом по Комитету составляет – 34 616 311,76 руб., вся задолженность является текущей, просроченная задолженность отсутствует, из них: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счету 1 302 21 в сумме 403 605,64 руб. задолженность за услуги связи за декабрь 2024 года (оплата будет произведена в январе 2025 года);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счету 1 302 24 в сумме 2 529 757,00 руб. задолженность по арендной плате за декабрь 2024 года (оплата будет произведена в январе 2025 года);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- по счету 1 302 25 в сумме 2 725,00 руб. задолженность по арендной плате за декабрь 2024 года (оплата будет произведена в январе 2025 года);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- по счету 1 302 26 в сумме 3 342 646,16 руб. задолженность по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оказанию услуг по сопровождению защищённого сегмента сети 6440 медицинских организаций Ленинградской области (оплата будет произведена в январе 2024 года);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- по счету 1 302 32 в сумме 28 302 825,00 руб. задолженность по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оказанию услуг по сопровождению защищённого сегмента сети 6440 медицинских организаций Ленинградской области (оплата будет произведена в январе 2024 года);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- по счету 1 302 34 в сумме 34 752,96 руб. задолженность по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оказанию услуг по сопровождению защищённого сегмента сети 6440 медицинских организаций Ленинградской области (оплата будет произведена в январе 2024 года).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ahoma" w:hAnsi="Tahoma" w:cs="Tahoma" w:eastAsia="Tahoma"/>
          <w:b w:val="0"/>
          <w:i w:val="0"/>
          <w:color w:val="000000"/>
          <w:sz w:val="18"/>
          <w:szCs w:val="18"/>
          <w:shd w:val="clear" w:color="auto" w:fill="FFFFFF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состоянию на 01.01.2025 на счете 1.401.60 «Резервы предстоящих расходов» сформированы резервы предстоящих расходов на сумму 84 842 380,38 руб., в том числе: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- по КОСГУ 211 - резерв отпусков в сумме 3 290 630,95 руб.;</w:t>
      </w:r>
      <w:r>
        <w:rPr>
          <w:rFonts w:ascii="Tahoma" w:hAnsi="Tahoma" w:cs="Tahoma" w:eastAsia="Tahoma"/>
          <w:b w:val="0"/>
          <w:i w:val="0"/>
          <w:color w:val="000000"/>
          <w:sz w:val="18"/>
          <w:shd w:val="clear" w:color="auto" w:fill="FFFFFF"/>
        </w:rPr>
        <w:br w:type="textWrapping"/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- по КОСГУ 213 - обязательные начисления (взносы) на сумму резерва отпусков в сумме 958 011,58 руб.;</w:t>
      </w:r>
    </w:p>
    <w:p>
      <w:pPr>
        <w:shd w:val="clear" w:fill="FFFFFF"/>
        <w:spacing w:before="240" w:after="240" w:beforeAutospacing="0" w:afterAutospacing="0"/>
        <w:ind w:firstLine="56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в сумме 80 593 737,85 руб. - начислены резервы по выставленным в единой информационной системе в сфере закупок документам, но непринятым в 2024 году.</w:t>
      </w:r>
    </w:p>
    <w:p>
      <w:pPr>
        <w:shd w:val="clear" w:fill="FFFFFF"/>
        <w:spacing w:before="240" w:after="240" w:beforeAutospacing="0" w:afterAutospacing="0"/>
        <w:ind w:firstLine="56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 сумму резервов предстоящих расходов приняты отложенные обязательства.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Обобщенные за отчетный период данные об остатках и расчетах по дебиторской и кредиторской задолженности по бюджетной деятельности приведены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в форме 0503169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 «Сведения по дебиторской и кредиторской задолженности».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7"/>
          <w:szCs w:val="27"/>
        </w:rPr>
        <w:t xml:space="preserve"> 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Неисполненные принятые бюджетные обязательств за 2024 год составляют 2 731 494,15 руб. и связаны с неисполнение исполнителями своих обязательств по государственным контрактам на развитие государственных информационных систем Ленинградской области, а также оплатой услуг по фактически оказанным услугам связи.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Сведения о принятых и неисполненных обязательствах получателя бюджетных средств отражены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в форме 0503175.</w:t>
      </w:r>
    </w:p>
    <w:p>
      <w:pPr>
        <w:spacing w:before="0" w:after="0" w:beforeAutospacing="0" w:afterAutospacing="0"/>
        <w:ind w:firstLine="72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Общая экономия по результатам конкурентных процедур, проведенных в 2024 году составила 64 088 102,92 руб. 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На 01.01.2025 остаток средств на лицевых счетах по учету средств во временном распоряжении, открытых в Комитете финансов Ленинградской области составляет 31 795 406,01 руб. (обеспечение исполнения государственных контрактов, а также гарантийных обязательств по государственным контрактам), из них:</w:t>
      </w:r>
    </w:p>
    <w:p>
      <w:pPr>
        <w:numPr>
          <w:ilvl w:val="0"/>
          <w:numId w:val="5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Комитету – 4 266 868,88 руб.;</w:t>
      </w:r>
    </w:p>
    <w:p>
      <w:pPr>
        <w:numPr>
          <w:ilvl w:val="0"/>
          <w:numId w:val="5"/>
        </w:numPr>
        <w:shd w:val="clear" w:fill="auto"/>
        <w:spacing w:before="0" w:after="0" w:beforeAutospacing="0" w:afterAutospacing="0"/>
        <w:ind w:hanging="360" w:left="720" w:right="0"/>
        <w:jc w:val="both"/>
        <w:outlineLvl w:val="9"/>
        <w:rPr>
          <w:rFonts w:ascii="Arial" w:hAnsi="Arial" w:cs="Arial" w:eastAsia="Arial"/>
          <w:b w:val="0"/>
          <w:i w:val="0"/>
          <w:color w:val="000000"/>
          <w:sz w:val="28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по ГКУ ЛО «ОЭП» – 27 528 537,13 руб.;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Сведения об остатках денежных средств на счетах получателя бюджетных средств» по виду деятельности средства во временном распоряжении представлены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в форме 0503178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70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По состоянию на 01.01.2025 принято и исполнено денежных обязательств по исполнению судебного решения на общую сумму 6 444 950,00 руб.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по исполнительному листу ФС № 045910414 от 12.01.2024 по делу № А56-46612/2023.</w:t>
      </w:r>
    </w:p>
    <w:p>
      <w:pPr>
        <w:spacing w:before="0" w:after="0" w:beforeAutospacing="0" w:afterAutospacing="0"/>
        <w:ind w:firstLine="70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Сведения об исполнении судебных решений по денежным обязательствам бюджета представлены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в форме 0503296.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</w:rPr>
        <w:t>Раздел  5. Прочие вопросы деятельности субъекта бюджетной отчетности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Ведение бухгалтерского бюджетного учета осуществляется с помощью программного продукта «1С: Бухгалтерия государственного учреждения».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Бухгалтерский учет ведется с применением электронного документооборота с Комитетом финансов Ленинградской области подсистемы бюджетного учета учреждений, подсистемы оплаты труда и подсистемы информационного взаимодействия информационной системы "Управление бюджетным процессом Ленинградской области», ИС «Свод – Смарт», отделением Федерального казначейства по Ленинградской области («СУФД»). Автоматизация бухгалтерского учета основана на едином взаимосвязанном технологическом процессе обработки первичных учетных документов и отражения операций по регистрам и разделам применяемого Плана счетов.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Сводная бюджетная отчетность за 2024 год составлена на основании данных бюджетной отчетности Комитета, как получателя бюджетных средств и бюджетной отчетности, представленной подведомственными Комитету учреждениями, путем арифметического суммирования и консолидации соответствующих показателей.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Ввиду отсутствия в структуре и штатном расписании Комитета руководителя планово–экономической службы пояснительная записка подписывается руководителем и главным бухгалтером.</w:t>
      </w:r>
    </w:p>
    <w:p>
      <w:pPr>
        <w:spacing w:before="0" w:after="0" w:beforeAutospacing="0" w:afterAutospacing="0"/>
        <w:ind w:firstLine="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 xml:space="preserve">В связи с отсутствием в ведение Комитета автономных и бюджетных учреждений бухгалтерская отчетность в соответствии с </w:t>
      </w:r>
      <w:r>
        <w:rPr>
          <w:rFonts w:ascii="Times New Roman" w:hAnsi="Times New Roman" w:cs="Times New Roman" w:eastAsia="Times New Roman"/>
          <w:b w:val="0"/>
          <w:i w:val="0"/>
          <w:color w:val="22272F"/>
          <w:sz w:val="28"/>
          <w:szCs w:val="28"/>
        </w:rPr>
        <w:t xml:space="preserve">приказом Министерства финансов Российской Федерации от 25 марта 2011 г. №33н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</w:rPr>
        <w:t>не представляется. </w:t>
      </w:r>
    </w:p>
    <w:p>
      <w:pPr>
        <w:spacing w:before="0" w:after="0" w:beforeAutospacing="0" w:afterAutospacing="0"/>
        <w:ind w:firstLine="56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4"/>
          <w:szCs w:val="24"/>
        </w:rPr>
        <w:t> </w:t>
      </w:r>
    </w:p>
    <w:p>
      <w:pPr>
        <w:spacing w:before="0" w:after="0" w:beforeAutospacing="0" w:afterAutospacing="0"/>
        <w:ind w:firstLine="540" w:left="0" w:right="0"/>
        <w:jc w:val="both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Предупреждения, возникающие при проведении внутридокументного контроля: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>Форма 0503121G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Отрицательные показатели требуют пояснений.</w:t>
      </w:r>
    </w:p>
    <w:p>
      <w:pPr>
        <w:shd w:val="clear" w:fill="FFFFFF"/>
        <w:spacing w:before="240" w:after="240" w:beforeAutospacing="0" w:afterAutospacing="0"/>
        <w:ind w:firstLine="42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по КОСГУ 172 отражено списание остаточной стоимости имущества, признанного не активом по результатам инвентаризации на сумму (-) 83 860,75 руб. и принятие к учету имущества по результатам рекламации поставленного товара на сумму 6 834,00 руб. </w:t>
      </w:r>
    </w:p>
    <w:p>
      <w:pPr>
        <w:shd w:val="clear" w:fill="FFFFFF"/>
        <w:spacing w:before="240" w:after="240" w:beforeAutospacing="0" w:afterAutospacing="0"/>
        <w:ind w:firstLine="42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- по КОСГУ 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>173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 отражено списание по коду дохода 11607090020000140 в сумме </w:t>
      </w: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>(-) 1 272 823,94 руб.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безнадежной к взысканию неустойки за несвоевременное исполнение обязательств с ООО «ТРАЙТЕК ИНФОСИСТЕМС» по государственному контракту от 22.09.2020 № 18024 в соответствии с Решением Арбитражного суда г. Санкт-Петербурга и Ленинградской области от 21.09.2024 Дело № А56-125247/2023.</w:t>
      </w:r>
    </w:p>
    <w:p>
      <w:pPr>
        <w:shd w:val="clear" w:fill="FFFFFF"/>
        <w:spacing w:before="240" w:after="24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u w:val="single"/>
        </w:rPr>
        <w:t>Предупреждения, возникающие при проведении междокументного контроля:</w:t>
      </w:r>
    </w:p>
    <w:p>
      <w:pPr>
        <w:shd w:val="clear" w:fill="FFFFFF"/>
        <w:spacing w:before="240" w:after="24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>Форма 0503110G/0503168G</w:t>
      </w:r>
    </w:p>
    <w:p>
      <w:pPr>
        <w:shd w:val="clear" w:fill="FFFFFF"/>
        <w:spacing w:before="240" w:after="24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Сумма принятых к учету ранее не учетных объектов по счету 140110199 - требуются пояснения.</w:t>
      </w:r>
    </w:p>
    <w:p>
      <w:pPr>
        <w:shd w:val="clear" w:fill="FFFFFF"/>
        <w:spacing w:before="240" w:after="24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Получено вложений в нематериальные активы по договору пожертвования неденежного имущества от 15.11.2024 № 1 в условной единице 1 руб. программное обеспечение для государственной информационной системы Ленинградской области «Жилье» с целью интеграции с федеральной государственной информационной системой «Единый порталом государственных и муниципальных услуг (функций)» в части получения заявлений на предоставление выплат и заявлений о сокращении срока действия договора найма специализированного жилого помещения. Ввиду острой социальной значимости ввода функциональности ГИС «Жилье» по обмену данными в части заявлений на предоставление выплат и заявлений о сокращении срока действия договора найма специализированного жилого помещения с ЕПГУ «Жертвователь» по договору пожертвования передал в пользу Ленинградской области в лице ГКУ ЛО «ОЭП» необходимое программное обеспечение.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1"/>
          <w:i w:val="0"/>
          <w:color w:val="000000"/>
          <w:sz w:val="28"/>
          <w:szCs w:val="28"/>
          <w:shd w:val="clear" w:color="auto" w:fill="FFFFFF"/>
        </w:rPr>
        <w:t xml:space="preserve">Форма 0503128G/Форма 0503169G_БД/Форма 0503169G_БК 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Показатели кредиторской задолженности ф. 0503169 (гр.9) по состоянию на отчетную дату должны соответствовать показателям, отраженным в ф. 0503128 в качестве неисполненных денежных обязательств (гр. 12 ф. 0503128).</w:t>
      </w:r>
    </w:p>
    <w:p>
      <w:pPr>
        <w:shd w:val="clear" w:fill="FFFFFF"/>
        <w:spacing w:before="240" w:after="0" w:beforeAutospacing="0" w:afterAutospacing="0"/>
        <w:ind w:firstLine="700" w:left="0" w:right="0"/>
        <w:jc w:val="both"/>
        <w:outlineLvl w:val="9"/>
        <w:rPr>
          <w:shd w:val="clear" w:color="auto" w:fill="FFFFFF"/>
        </w:rPr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  <w:szCs w:val="28"/>
          <w:shd w:val="clear" w:color="auto" w:fill="FFFFFF"/>
        </w:rPr>
        <w:t>Неисполненные денежные обязательства (текущая кредиторская задолженность) на 01.01.2025 отражены в ф.0503128G в графе 9 (Денежные обязательства финансовых годов) раздела 3 (Обязательства финансовых годов). </w:t>
      </w:r>
    </w:p>
    <w:p>
      <w:pPr>
        <w:spacing w:before="0" w:after="0" w:beforeAutospacing="0" w:afterAutospacing="0"/>
        <w:ind w:firstLine="0" w:left="0" w:right="0"/>
        <w:jc w:val="left"/>
        <w:outlineLvl w:val="9"/>
      </w:pPr>
      <w:r>
        <w:rPr>
          <w:rFonts w:ascii="Times New Roman" w:hAnsi="Times New Roman" w:cs="Times New Roman" w:eastAsia="Times New Roman"/>
          <w:b w:val="0"/>
          <w:i w:val="0"/>
          <w:color w:val="000000"/>
          <w:sz w:val="20"/>
          <w:szCs w:val="20"/>
        </w:rPr>
        <w:t> </w:t>
      </w:r>
    </w:p>
    <w:p>
      <w:pPr>
        <w:spacing w:before="0" w:after="0" w:beforeAutospacing="0" w:afterAutospacing="0"/>
        <w:ind w:firstLine="0" w:left="0" w:right="0"/>
        <w:jc w:val="left"/>
        <w:outlineLvl w:val="9"/>
      </w:pPr>
      <w:r>
        <w:rPr>
          <w:rFonts w:ascii="Calibri" w:hAnsi="Calibri" w:cs="Calibri" w:eastAsia="Calibri"/>
          <w:b w:val="0"/>
          <w:i w:val="0"/>
          <w:color w:val="000000"/>
          <w:sz w:val="22"/>
          <w:szCs w:val="22"/>
        </w:rPr>
        <w:t> </w:t>
      </w:r>
    </w:p>
    <w:p>
      <w:pPr>
        <w:spacing w:before="0" w:after="0" w:beforeAutospacing="0" w:afterAutospacing="0"/>
        <w:ind w:firstLine="0" w:left="0" w:right="0"/>
        <w:outlineLvl w:val="9"/>
      </w:pPr>
    </w:p>
    <w:tbl>
      <w:tblPr>
        <w:tblW w:w="12510" w:type="dxa"/>
        <w:tblInd w:w="-743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109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</w:pPr>
          </w:p>
        </w:tc>
      </w:tr>
      <w:t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Руководитель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</w:pP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132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Руководитель финансово- экономической службы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  <w:tr>
        <w:trPr>
          <w:trHeight w:hRule="atLeast" w:val="281"/>
        </w:trPr>
        <w:tc>
          <w:tcPr>
            <w:tcW w:w="1091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329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before="0" w:after="0" w:beforeAutospacing="0" w:afterAutospacing="0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(расшифровка подписи)</w:t>
            </w:r>
          </w:p>
        </w:tc>
      </w:tr>
      <w:tr>
        <w:trPr>
          <w:trHeight w:hRule="atLeast"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  <w:p>
            <w:pPr>
              <w:spacing w:before="0" w:after="0" w:beforeAutospacing="0" w:afterAutospacing="0"/>
              <w:ind w:left="0" w:right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 </w:t>
            </w:r>
          </w:p>
        </w:tc>
        <w:tc>
          <w:tcPr>
            <w:tcW w:w="3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left="0" w:right="0"/>
              <w:rPr>
                <w:sz w:val="24"/>
              </w:rPr>
            </w:pPr>
          </w:p>
        </w:tc>
      </w:tr>
    </w:tbl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 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 </w:t>
      </w:r>
    </w:p>
    <w:p>
      <w:r>
        <w:rPr>
          <w:rFonts w:ascii="Times New Roman" w:hAnsi="Times New Roman" w:cs="Times New Roman" w:eastAsia="Times New Roman"/>
          <w:sz w:val="24"/>
          <w:szCs w:val="24"/>
        </w:rPr>
        <w:t xml:space="preserve">        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3B18B7D"/>
    <w:multiLevelType w:val="hybridMultilevel"/>
    <w:lvl w:ilvl="0" w:tplc="40E2AE3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F3C131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72D3D4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B5659C5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620D44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91E43E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DF09B0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8B5D6D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BF7269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04C4E7AA"/>
    <w:multiLevelType w:val="hybridMultilevel"/>
    <w:lvl w:ilvl="0" w:tplc="7F7037DE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4E1DBD8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91AEEE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165B62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7CAA86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D900E5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6FF601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4D19F8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1263A3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1AA95D30"/>
    <w:multiLevelType w:val="hybridMultilevel"/>
    <w:lvl w:ilvl="0" w:tplc="4AC6D4C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516450F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5B3DB5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A9A5655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9629DA1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72BE39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695CA1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10F692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97EC23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104787AB"/>
    <w:multiLevelType w:val="hybridMultilevel"/>
    <w:lvl w:ilvl="0" w:tplc="3FD12AC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6180D7C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A0E48B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4460B3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8AFEE1F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C4609C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A24818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D90FA2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A6A970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07D3CD61"/>
    <w:multiLevelType w:val="hybridMultilevel"/>
    <w:lvl w:ilvl="0" w:tplc="08F0494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0B3162A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9C545E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3BFEF8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45AC0A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EE7B0D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4BC458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F13DE1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C09277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Улькова Ирина Алексеевна</dc:creator>
  <dcterms:created xsi:type="dcterms:W3CDTF">2025-02-06T06:01:23Z</dcterms:created>
  <cp:lastModifiedBy>Улькова Ирина Алексеевна</cp:lastModifiedBy>
  <dcterms:modified xsi:type="dcterms:W3CDTF">2025-02-06T06:01:23Z</dcterms:modified>
  <cp:revision>2</cp:revision>
</cp:coreProperties>
</file>