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W w:w="0" w:type="auto"/>
        <w:tblInd w:w="0" w:type="dxa"/>
        <w:tblBorders>
          <w:top w:val="none" w:sz="6" w:space="0" w:shadow="0" w:frame="0" w:color="000000"/>
          <w:left w:val="none" w:sz="6" w:space="0" w:shadow="0" w:frame="0" w:color="000000"/>
          <w:bottom w:val="none" w:sz="6" w:space="0" w:shadow="0" w:frame="0" w:color="000000"/>
          <w:right w:val="none" w:sz="6" w:space="0" w:shadow="0" w:frame="0" w:color="000000"/>
          <w:insideH w:val="none" w:sz="6" w:space="0" w:shadow="0" w:frame="0" w:color="000000"/>
          <w:insideV w:val="none" w:sz="6" w:space="0" w:shadow="0" w:frame="0" w:color="00000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Утв. приказом Минфина РФ </w:t>
              <w:br w:type="textWrapping"/>
              <w:t xml:space="preserve">от 28 декабря 2010 г. № 191н </w:t>
              <w:br w:type="textWrapping"/>
            </w:r>
            <w:r>
              <w:rPr>
                <w:rFonts w:ascii="Times New Roman" w:hAnsi="Times New Roman" w:cs="Times New Roman" w:eastAsia="Times New Roman"/>
                <w:i w:val="1"/>
                <w:sz w:val="20"/>
                <w:szCs w:val="20"/>
              </w:rPr>
              <w:t>(в ред. от 16 ноября 2016 г.)</w:t>
            </w:r>
          </w:p>
        </w:tc>
      </w:tr>
    </w:tbl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vanish w:val="1"/>
          <w:sz w:val="24"/>
          <w:szCs w:val="24"/>
        </w:rPr>
        <w:t> </w:t>
      </w:r>
    </w:p>
    <w:tbl>
      <w:tblPr>
        <w:tblW w:w="10951" w:type="dxa"/>
        <w:tblInd w:w="9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1"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КОДЫ</w:t>
            </w: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43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Форма по ОКУД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0503160</w:t>
            </w:r>
          </w:p>
        </w:tc>
      </w:tr>
      <w:tr>
        <w:trPr>
          <w:trHeight w:hRule="atLeast"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Дата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01.01.2026</w:t>
            </w:r>
          </w:p>
        </w:tc>
      </w:tr>
      <w:tr>
        <w:trPr>
          <w:trHeight w:hRule="atLeast"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Код субъекта </w:t>
            </w:r>
          </w:p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бюджетной отчетности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ГРБС</w:t>
            </w:r>
          </w:p>
        </w:tc>
      </w:tr>
      <w:tr>
        <w:trPr>
          <w:trHeight w:hRule="atLeast"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 ОКПО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00098097</w:t>
            </w: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Комитет цифрового развития Ленинградской области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     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Глава по БК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252</w:t>
            </w:r>
          </w:p>
        </w:tc>
      </w:tr>
      <w:tr>
        <w:trPr>
          <w:trHeight w:hRule="atLeast"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Областной бюджет Ленинградской области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 </w:t>
            </w:r>
          </w:p>
          <w:p>
            <w:pPr>
              <w:spacing w:lineRule="atLeast" w:line="210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   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210"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 ОКТМО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210"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  <w:t>41000000</w:t>
            </w:r>
          </w:p>
        </w:tc>
      </w:tr>
      <w:tr>
        <w:trPr>
          <w:trHeight w:hRule="atLeast"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240" w:after="240" w:beforeAutospacing="1" w:afterAutospacing="1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 по ОКЕИ</w:t>
            </w: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383</w:t>
            </w: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w="1095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</w:tbl>
    <w:p>
      <w:pPr>
        <w:spacing w:before="0" w:after="0" w:beforeAutospacing="0" w:afterAutospacing="0"/>
        <w:ind w:firstLine="18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lineRule="atLeast" w:line="288" w:before="0" w:after="0" w:beforeAutospacing="0" w:afterAutospacing="0"/>
        <w:ind w:firstLine="54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Комитет цифрового развития Ленинградской области (далее - Комитет) является отраслевым органом исполнительной власти Ленинградской области, уполномоченным в сферах информатизации, цифровой трансформации Ленинградской области, цифровых и информационных технологий, защиты информации, телекоммуникаций, связи, оказания государственных </w:t>
        <w:br w:type="textWrapping"/>
        <w:t>и муниципальных услуг в электронном виде, использования результатов космической деятельности, а также координирующим и обеспечивающим деятельность органов исполнительной власти Ленинградской области, а также государственных учреждений, осуществляющих функции главного распорядителя бюджетных средств областного бюджета Ленинградской области, в указанной сфере, в соответствии с Положением о Комитете, утвержденным постановлением Правительства Ленинградской области от 05.08.2024 № 534 (далее – Положение №534).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Информация о Комитете размещена в сети «Интернет» на сайте: </w:t>
      </w:r>
      <w:hyperlink xmlns:r="http://schemas.openxmlformats.org/officeDocument/2006/relationships" r:id="R2">
        <w:r>
          <w:rPr>
            <w:rStyle w:val="C2"/>
            <w:rFonts w:ascii="Calibri" w:hAnsi="Calibri" w:cs="Calibri" w:eastAsia="Calibri"/>
            <w:b w:val="0"/>
            <w:i w:val="0"/>
            <w:color w:val="0000FF"/>
            <w:sz w:val="28"/>
            <w:szCs w:val="28"/>
            <w:u w:val="single"/>
          </w:rPr>
          <w:t>https://ksi.lenobl.ru/</w:t>
        </w:r>
      </w:hyperlink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, в соответствии с федеральным </w:t>
      </w:r>
      <w:hyperlink xmlns:r="http://schemas.openxmlformats.org/officeDocument/2006/relationships" r:id="R3">
        <w:r>
          <w:rPr>
            <w:rStyle w:val="C2"/>
            <w:rFonts w:ascii="Times New Roman" w:hAnsi="Times New Roman" w:cs="Times New Roman" w:eastAsia="Times New Roman"/>
            <w:b w:val="0"/>
            <w:i w:val="0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</w:t>
        <w:br w:type="textWrapping"/>
        <w:t>и органов местного самоуправления».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Учредителем Комитета является Ленинградская область, в соответствии </w:t>
        <w:br w:type="textWrapping"/>
        <w:t>с Законом Ленинградской области от 27.10.1994 № 6-оз «Устав Ленинградской области».</w:t>
      </w:r>
    </w:p>
    <w:p>
      <w:pPr>
        <w:spacing w:before="0" w:after="0" w:beforeAutospacing="0" w:afterAutospacing="0"/>
        <w:ind w:firstLine="5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возглавляет   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председатель Комитета       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  -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Сытник Андрей Сергеевич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,</w:t>
      </w:r>
    </w:p>
    <w:p>
      <w:pPr>
        <w:spacing w:before="0" w:after="0" w:beforeAutospacing="0" w:afterAutospacing="0"/>
        <w:ind w:firstLine="720" w:left="360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>(должность) (фамилия имя отчество)</w:t>
      </w:r>
    </w:p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назначенный на должность распоряжением Губернатора Ленинградской области от 23.08.2021 № 803-рг (служебные отношения продолжены на основании распоряжения Губернатора Ленинградской области от 26.12.2025 №1273-рг) по настоящее время.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соответствие с федеральным законом от 06.12.2011 № 402-ФЗ </w:t>
        <w:br w:type="textWrapping"/>
        <w:t>«О бухгалтерском учете» (ред. от 26.12.2024) ведение бухгалтерского учета возложено на:</w:t>
      </w:r>
    </w:p>
    <w:p>
      <w:pPr>
        <w:spacing w:before="0" w:after="0" w:beforeAutospacing="0" w:afterAutospacing="0"/>
        <w:ind w:firstLine="42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главного бухгалтера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начальника отдела бюджетного учета и государственных закупок – главный бухгалтер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Комитета, -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Славинская Екатерина Георгиевна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 xml:space="preserve">                       (должность)                                                                                                  (фамилия имя отчество)</w:t>
      </w:r>
    </w:p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назначенную на должность распоряжением Администрации Губернатора </w:t>
        <w:br w:type="textWrapping"/>
        <w:t>и Правительства Ленинградской области от 15.02.2019 №3.2-03/104 по настоящее время.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соответствие с нормами бюджетного законодательства формы бюджетной (бухгалтерской) отчетности, содержащие плановые (прогнозные) и аналитические (управленческие) показатели подписываются руководителем финансово-экономической службы: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обязанности руководителя финансово - экономической службы возложены на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начальника отдела бюджетного учета и государственных закупок – главный бухгалтер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Комитета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, -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 xml:space="preserve">Славинская Екатерина Георгиевна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,</w:t>
      </w:r>
    </w:p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>       (должность)      (фамилия имя отчество)</w:t>
      </w:r>
    </w:p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соответствии с должностным регламентом, по настоящее время.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Фактическое местонахождение Комитета: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191124, Санкт-Петербург, внутригородское муниципальное образование Санкт-Петербурга муниципальный округ Смольнинское, площадь Растрелли, дом 2, строение 1.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Сведения об основных направлениях деятельности (</w:t>
      </w:r>
      <w:r>
        <w:rPr>
          <w:rFonts w:ascii="Times New Roman" w:hAnsi="Times New Roman" w:cs="Times New Roman" w:eastAsia="Times New Roman"/>
          <w:b w:val="0"/>
          <w:i w:val="1"/>
          <w:color w:val="000000"/>
          <w:sz w:val="28"/>
          <w:szCs w:val="28"/>
          <w:u w:val="single"/>
        </w:rPr>
        <w:t>кратк</w:t>
      </w:r>
      <w:r>
        <w:rPr>
          <w:rFonts w:ascii="Times New Roman" w:hAnsi="Times New Roman" w:cs="Times New Roman" w:eastAsia="Times New Roman"/>
          <w:b w:val="0"/>
          <w:i w:val="1"/>
          <w:color w:val="000000"/>
          <w:sz w:val="28"/>
          <w:szCs w:val="28"/>
        </w:rPr>
        <w:t>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): 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координация в сфере цифровой трансформации Ленинградской области, в том числе в сфере создания государственных информационных ресурсов, необходимых для выполнения основных функций государственного управления, обеспечения доступности данных для граждан и организаций;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осуществление полномочий собственника Единой сети передачи данных Ленинградской области, организация ее создания и развитие, регулирование отношений, связанных с использованием Единой сети передачи данных органами государственной власти и органами местного самоуправления Ленинградской области, подведомственными им государственными и муниципальными учреждениями;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осуществление защиты информации, содержащейся в государственных информационных системах Ленинградской области, в соответствии с требованиями, устанавливаемыми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за исключением информации, отнесенной к государственной тайне;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осуществление мероприятий по переходу на использование отечественного программного обеспечения, отечественных разработок и технологий при передаче, обработке и хранении данных в Ленинградской области.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создание, пополнение и использование слоев электронных цифровых карт на основе обработки данных дистанционного зондирования Земли на территории Ленинградской области, координирует использование электронных цифровых карт органами исполнительной власти Ленинградской области и органами местного самоуправления Ленинградской области, а также подведомственными им государственными и муниципальными учреждениями.</w:t>
      </w:r>
    </w:p>
    <w:p>
      <w:pPr>
        <w:spacing w:before="0" w:after="0" w:beforeAutospacing="0" w:afterAutospacing="0"/>
        <w:ind w:firstLine="0" w:left="72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осуществляет полномочия главного распорядителя и получателя бюджетных средств, главного администратора (администратора) доходов областного бюджета, главного администратора (администратора) источников финансирования дефицита бюджета в соответствии с Положением №534.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Комитет осуществляет функции и полномочия учредителя в отношении подведомственных ему государственных учреждений, в соответствии </w:t>
        <w:br w:type="textWrapping"/>
        <w:t xml:space="preserve">с </w:t>
      </w:r>
      <w:hyperlink xmlns:r="http://schemas.openxmlformats.org/officeDocument/2006/relationships" r:id="R4">
        <w:r>
          <w:rPr>
            <w:rStyle w:val="C2"/>
            <w:rFonts w:ascii="Times New Roman" w:hAnsi="Times New Roman" w:cs="Times New Roman" w:eastAsia="Times New Roman"/>
            <w:b w:val="0"/>
            <w:i w:val="0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Правительства Ленинградской области от 13 июля 2011 года </w:t>
        <w:br w:type="textWrapping"/>
        <w:t xml:space="preserve">№ 211 «О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области» и </w:t>
      </w:r>
      <w:hyperlink xmlns:r="http://schemas.openxmlformats.org/officeDocument/2006/relationships" r:id="R5">
        <w:r>
          <w:rPr>
            <w:rStyle w:val="C2"/>
            <w:rFonts w:ascii="Times New Roman" w:hAnsi="Times New Roman" w:cs="Times New Roman" w:eastAsia="Times New Roman"/>
            <w:b w:val="0"/>
            <w:i w:val="0"/>
            <w:color w:val="000000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принятия решения о создании, реорганизации и ликвидации государственных учреждений Ленинградской области, проведения реорганизации и ликвидации государственных учреждений Ленинградской области и изменения их типа, утвержденным постановлением Правительства Ленинградской области от 30 апреля 2015 года № 139, и иными федеральными и областными нормативными правовыми актами.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Количество учреждений (предприятий), в отношении которых Комитет осуществляет функции учредителя:</w:t>
      </w:r>
    </w:p>
    <w:tbl>
      <w:tblPr>
        <w:tblW w:w="10320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32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9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Изменения</w:t>
            </w:r>
          </w:p>
        </w:tc>
      </w:tr>
      <w:tr>
        <w:tc>
          <w:tcPr>
            <w:tcW w:w="32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Казенные учреждения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0</w:t>
            </w:r>
          </w:p>
        </w:tc>
      </w:tr>
      <w:tr>
        <w:tc>
          <w:tcPr>
            <w:tcW w:w="322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Бюджетные полномочия главного распорядителя (администратора) </w:t>
        <w:br w:type="textWrapping"/>
        <w:t xml:space="preserve">или учредителя в отчетном периоде </w:t>
      </w: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¨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изменились </w:t>
      </w: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не изменились.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Органом, осуществляющим внешний государственный финансовый контроль, является: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Контрольно-счетная палата Ленинградской области, в соответствии </w:t>
        <w:br w:type="textWrapping"/>
        <w:t>с Областной закон Ленинградской области от 14.10.2011 № 77-оз (ред. от 02.11.2024) «О Контрольно-счетной палате Ленинградской области»,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¨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Счетная палата Российской Федерации, в соответствии с Федеральным законом от 05.04.2013 № 41-ФЗ «О Счетной палате Российской Федерации» </w:t>
        <w:br w:type="textWrapping"/>
        <w:t>(ред. от 10.07.2023)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Внутренний государственный финансовый контроль в части соблюдения требований к бухгалтерскому учету, составлению и представлению бухгалтерской (финансовой) отчетности за отчетный период осуществлялся:</w:t>
      </w:r>
    </w:p>
    <w:tbl>
      <w:tblPr>
        <w:tblW w:w="0" w:type="auto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365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Проверяющий орган</w:t>
            </w:r>
          </w:p>
        </w:tc>
        <w:tc>
          <w:tcPr>
            <w:tcW w:w="679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Объем бюджетных средств к возмещению по результату проверки, согласно акта проверки</w:t>
            </w:r>
          </w:p>
        </w:tc>
      </w:tr>
      <w:tr>
        <w:tc>
          <w:tcPr>
            <w:tcW w:w="365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ind w:left="0" w:right="0"/>
            </w:pPr>
            <w:r>
              <w:t xml:space="preserve"> 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в отношение ОИВ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в отношении учреждений, подведомственных ОИВ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Управление Федерального казначейства по Ленинградской области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в соответствии с приказом Казначейства России от 29.12.2017 № 385 «Об утверждении Стандарта внутренней организации «Осуществление Федеральным казначейством полномочий по внутреннему государственному финансовому контролю в сфере бюджетных правоотношений»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не осуществлялся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0,00 руб.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Контрольный комитет Губернатора Ленинградской области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в соответствии с Положением о Контрольном комитете Губернатора Ленинградской области, утвержденным постановлением Правительства Ленинградской области от 08.12.2020 № 810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не осуществлялся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0,00 руб.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 в соответствии с распоряжением 19.11.2025 №69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0,00 руб.</w:t>
            </w:r>
          </w:p>
        </w:tc>
      </w:tr>
    </w:tbl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соответствие с приказом Минфина России от 31.12.2016 </w:t>
        <w:br w:type="textWrapping"/>
        <w:t xml:space="preserve">№ 256н «Об утверждении федерального стандарта бухгалтерского учета </w:t>
        <w:br w:type="textWrapping"/>
        <w:t xml:space="preserve">для организаций государственного сектора «Концептуальные основы бухгалтерского учета и отчетности организаций государственного сектора»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 xml:space="preserve">консолидированная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u w:val="single"/>
        </w:rPr>
        <w:t>бюджетная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 xml:space="preserve"> отчетность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за 2025 год сформирована Комитетом на основании представленной бюджетной отчетности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2-х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субъектов отчетности: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1) Комитет;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2) государственное казенное учреждение Ленинградской области «Оператор «электронного правительства» (сокращенное наименование – ГКУ ЛО «ОЭП»).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Информация о видах лицевых счетов субъекта консолидированной бюджетной отчетности, открытых по состоянию на отчетную дату</w:t>
      </w:r>
    </w:p>
    <w:tbl>
      <w:tblPr>
        <w:tblW w:w="0" w:type="auto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Клиент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Вид лицевого счета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НПА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ГКУ ЛО «ОЭП»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лицевые счета администратора доходов бюджета, с кодом 04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 xml:space="preserve">В соответствие с приказом Казначейства России </w:t>
              <w:br w:type="textWrapping"/>
              <w:t>от 17.10.2016 № 21н «О порядке открытия и ведения лицевых счетов территориальными органами Федерального казначейства» (ред. от 28.12.2022)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лицевой счет главного распорядителя бюджетных средств, с кодом 01</w:t>
            </w:r>
          </w:p>
        </w:tc>
        <w:tc>
          <w:tcPr>
            <w:tcW w:w="3396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 xml:space="preserve">В соответствие с приказом комитета финансов Ленинградской области </w:t>
              <w:br w:type="textWrapping"/>
              <w:t>от 21.11.2022 № 18-02/09-33 «Об утверждении Порядка открытия и ведения лицевых счетов комитетом финансов Ленинградской области»</w:t>
            </w: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ГКУ ЛО «ОЭП»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лицевые счета получателя бюджетных средств, с кодом 02</w:t>
            </w:r>
          </w:p>
        </w:tc>
        <w:tc>
          <w:tcPr>
            <w:tcW w:w="339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ind w:left="0" w:right="0"/>
            </w:pPr>
          </w:p>
        </w:tc>
      </w:tr>
      <w:tr>
        <w:tc>
          <w:tcPr>
            <w:tcW w:w="365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ГКУ ЛО «ОЭП»</w:t>
            </w:r>
          </w:p>
        </w:tc>
        <w:tc>
          <w:tcPr>
            <w:tcW w:w="339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лицевой счет для учета операций со средствами, поступающими во временное распоряжение, с кодом 06</w:t>
            </w:r>
          </w:p>
        </w:tc>
        <w:tc>
          <w:tcPr>
            <w:tcW w:w="339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ind w:left="0" w:right="0"/>
            </w:pPr>
          </w:p>
        </w:tc>
      </w:tr>
    </w:tbl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before="0" w:after="0" w:beforeAutospacing="0" w:afterAutospacing="0"/>
        <w:ind w:firstLine="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>
      <w:pPr>
        <w:spacing w:before="0" w:after="0" w:beforeAutospacing="0" w:afterAutospacing="0"/>
        <w:ind w:firstLine="54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1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4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¨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предоставляет субсидии, в том числе гранты в форме субсидий юридическим лицам, индивидуальным предпринимателям, а также физическим лицам - производителям товаров, работ, услуг</w:t>
      </w:r>
    </w:p>
    <w:p>
      <w:pPr>
        <w:spacing w:before="0" w:after="0" w:beforeAutospacing="0" w:afterAutospacing="0"/>
        <w:ind w:firstLine="54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¨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Непрограммные направления деятельности</w:t>
      </w:r>
    </w:p>
    <w:p>
      <w:pPr>
        <w:spacing w:before="0" w:after="0" w:beforeAutospacing="0" w:afterAutospacing="0"/>
        <w:ind w:firstLine="54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4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Численность специалистов бухгалтерских подразделений</w:t>
      </w:r>
    </w:p>
    <w:tbl>
      <w:tblPr>
        <w:tblW w:w="10365" w:type="dxa"/>
        <w:tblInd w:w="9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772"/>
        </w:trPr>
        <w:tc>
          <w:tcPr>
            <w:tcW w:w="231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Субъект бюджетной отчетности</w:t>
            </w:r>
          </w:p>
        </w:tc>
        <w:tc>
          <w:tcPr>
            <w:tcW w:w="2743" w:type="dxa"/>
            <w:gridSpan w:val="2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Количество специалистов по состоянию на 01.01.2025 (ед.)</w:t>
            </w:r>
          </w:p>
        </w:tc>
        <w:tc>
          <w:tcPr>
            <w:tcW w:w="2743" w:type="dxa"/>
            <w:gridSpan w:val="2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Количество специалистов по состоянию на 01.01.2026 (ед.)</w:t>
            </w:r>
          </w:p>
        </w:tc>
        <w:tc>
          <w:tcPr>
            <w:tcW w:w="2565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Пояснение</w:t>
            </w:r>
          </w:p>
        </w:tc>
      </w:tr>
      <w:tr>
        <w:trPr>
          <w:trHeight w:hRule="atLeast" w:val="390"/>
        </w:trPr>
        <w:tc>
          <w:tcPr>
            <w:tcW w:w="231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</w:pPr>
            <w: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 xml:space="preserve">штатных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 xml:space="preserve">фактически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 xml:space="preserve">штатных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 xml:space="preserve">фактически </w:t>
            </w:r>
          </w:p>
        </w:tc>
        <w:tc>
          <w:tcPr>
            <w:tcW w:w="2565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w="231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hRule="atLeast" w:val="419"/>
        </w:trPr>
        <w:tc>
          <w:tcPr>
            <w:tcW w:w="231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8"/>
                <w:szCs w:val="28"/>
              </w:rPr>
              <w:t>ГКУ ЛО «ОЭП»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before="0" w:after="0" w:beforeAutospacing="0" w:afterAutospacing="0"/>
        <w:ind w:firstLine="54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lineRule="auto" w:line="276" w:before="0" w:after="200" w:beforeAutospacing="0" w:afterAutospacing="0"/>
        <w:ind w:firstLine="70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3 «Анализ отчета об исполнении бюджета субъектов бюджетной отчетности»</w:t>
      </w:r>
    </w:p>
    <w:p>
      <w:pPr>
        <w:spacing w:before="0" w:after="0" w:beforeAutospacing="0" w:afterAutospacing="0"/>
        <w:ind w:firstLine="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Информация, характеризующая результаты исполнения бюджета</w:t>
      </w:r>
    </w:p>
    <w:p>
      <w:pPr>
        <w:spacing w:before="0" w:after="0" w:beforeAutospacing="0" w:afterAutospacing="0"/>
        <w:ind w:firstLine="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субъекта консолидированной бюджетной отчетности </w:t>
      </w:r>
    </w:p>
    <w:p>
      <w:pPr>
        <w:spacing w:before="0" w:after="0" w:beforeAutospacing="0" w:afterAutospacing="0"/>
        <w:ind w:firstLine="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0"/>
          <w:szCs w:val="20"/>
        </w:rPr>
        <w:t>(пояснения к Сведениям ф.0503164)</w:t>
      </w:r>
    </w:p>
    <w:p>
      <w:pPr>
        <w:spacing w:before="0" w:after="0" w:beforeAutospacing="0" w:afterAutospacing="0"/>
        <w:ind w:firstLine="5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FF0000"/>
          <w:sz w:val="28"/>
          <w:szCs w:val="28"/>
        </w:rPr>
        <w:t> </w:t>
      </w:r>
    </w:p>
    <w:tbl>
      <w:tblPr>
        <w:tblW w:w="0" w:type="auto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436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Наименование КБК</w:t>
            </w:r>
          </w:p>
        </w:tc>
        <w:tc>
          <w:tcPr>
            <w:tcW w:w="340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Пояснения</w:t>
            </w:r>
          </w:p>
        </w:tc>
      </w:tr>
      <w:tr>
        <w:tc>
          <w:tcPr>
            <w:tcW w:w="1031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НЕПРОГНОЗИРУЕМЫЕ ДОХОДЫ</w:t>
            </w:r>
          </w:p>
        </w:tc>
      </w:tr>
      <w:tr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11302992020000130</w:t>
            </w:r>
          </w:p>
        </w:tc>
        <w:tc>
          <w:tcPr>
            <w:tcW w:w="436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340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Приказ Комитета цифрового развития Ленинградской области от 04.08.2022 N 11 (ред. от 09.10.2025) "Об утверждении методики прогнозирования поступлений доходов в областной бюджет Ленинградской области, администрируемых Комитетом цифрового развития Ленинградской области"</w:t>
            </w:r>
          </w:p>
        </w:tc>
      </w:tr>
      <w:tr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11607090020000140</w:t>
            </w:r>
          </w:p>
        </w:tc>
        <w:tc>
          <w:tcPr>
            <w:tcW w:w="436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340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ind w:left="0" w:right="0"/>
            </w:pPr>
          </w:p>
        </w:tc>
      </w:tr>
      <w:tr>
        <w:tc>
          <w:tcPr>
            <w:tcW w:w="10314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РАСХОДЫ - ИНЫЕ ПРИЧИНЫ</w:t>
            </w:r>
          </w:p>
        </w:tc>
      </w:tr>
      <w:tr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1060100000</w:t>
            </w:r>
          </w:p>
        </w:tc>
        <w:tc>
          <w:tcPr>
            <w:tcW w:w="436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Приоритетный проект «Создание цифровой картографической основы Ленинградской области с высоким пространственным разрешением»</w:t>
            </w:r>
          </w:p>
        </w:tc>
        <w:tc>
          <w:tcPr>
            <w:tcW w:w="340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Исполнение 89,36%, в том числе:</w:t>
            </w:r>
          </w:p>
        </w:tc>
      </w:tr>
      <w:tr>
        <w:tc>
          <w:tcPr>
            <w:tcW w:w="254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КВР 200</w:t>
            </w:r>
          </w:p>
        </w:tc>
        <w:tc>
          <w:tcPr>
            <w:tcW w:w="436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340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исполнение 89,36% по причине невозможности осуществить облеты части территории Ленинградской области в связи с запретом уполномоченных органов по государственному контракту на выполнение работы по развитию государственной информационной системы Ленинградской области «Региональная геоинформационная система» в части создания слоев с цифровой картографической основой масштаба 1:2000 земель лесного фонда Выборгского, Гатчинского, Кингисеппского, Киришского, Кировского, Ломоносовского, Приозерского, Тосненского районов и масштаба 1:500 земель населенных пунктов Гатчинского района Ленинградской области.</w:t>
            </w:r>
          </w:p>
        </w:tc>
      </w:tr>
    </w:tbl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4 « Анализ показателей бухгалтерской отчетности субъекта бюджетной отчетности»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Дебиторская задолженность на 01.01.2026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>(по данным ф. 0503169 БД раздел Итоги, графа 9)</w:t>
      </w:r>
    </w:p>
    <w:tbl>
      <w:tblPr>
        <w:tblW w:w="10230" w:type="dxa"/>
        <w:tblInd w:w="9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276"/>
        </w:trPr>
        <w:tc>
          <w:tcPr>
            <w:tcW w:w="166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Номер счета</w:t>
            </w:r>
          </w:p>
        </w:tc>
        <w:tc>
          <w:tcPr>
            <w:tcW w:w="2900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Сумма задолженности, руб. - на конец отчетного периода - всего</w:t>
            </w:r>
          </w:p>
        </w:tc>
        <w:tc>
          <w:tcPr>
            <w:tcW w:w="5661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120900000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12 950 661,59</w:t>
            </w:r>
          </w:p>
        </w:tc>
        <w:tc>
          <w:tcPr>
            <w:tcW w:w="5661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120941000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12 950 661,59</w:t>
            </w:r>
          </w:p>
        </w:tc>
        <w:tc>
          <w:tcPr>
            <w:tcW w:w="5661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 xml:space="preserve">начисление доходов от штрафных санкций </w:t>
              <w:br w:type="textWrapping"/>
              <w:t xml:space="preserve">за нарушение условий контрактов (договоров), срок погашения </w:t>
            </w:r>
            <w:r>
              <w:rPr>
                <w:rFonts w:ascii="Times New Roman" w:hAnsi="Times New Roman" w:cs="Times New Roman" w:eastAsia="Times New Roman"/>
                <w:b w:val="0"/>
                <w:i w:val="1"/>
                <w:color w:val="000000"/>
                <w:sz w:val="24"/>
                <w:szCs w:val="24"/>
              </w:rPr>
              <w:t>01.2026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12 950 661,590</w:t>
            </w:r>
          </w:p>
        </w:tc>
        <w:tc>
          <w:tcPr>
            <w:tcW w:w="5661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Х</w:t>
            </w:r>
          </w:p>
        </w:tc>
      </w:tr>
    </w:tbl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Просроченная дебиторская задолженность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>(по данным ф. 0503169 БД раздел Итоги, графа 11)</w:t>
      </w:r>
    </w:p>
    <w:tbl>
      <w:tblPr>
        <w:tblW w:w="10515" w:type="dxa"/>
        <w:tblInd w:w="96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64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Номер счета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Сумма просроченной ДЗ на 01.01.2025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Сумма просроченной ДЗ на 01.01.2026</w:t>
            </w:r>
          </w:p>
        </w:tc>
        <w:tc>
          <w:tcPr>
            <w:tcW w:w="172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Отклонение (гр. 3-гр. 2)</w:t>
            </w:r>
          </w:p>
        </w:tc>
        <w:tc>
          <w:tcPr>
            <w:tcW w:w="18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Причины увеличения (появления), меры по ее снижению</w:t>
            </w:r>
          </w:p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(гр.2&lt;гр.3)</w:t>
            </w:r>
          </w:p>
        </w:tc>
        <w:tc>
          <w:tcPr>
            <w:tcW w:w="194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Меры по снижению (погашению, признанию сомнительной, списанию)</w:t>
            </w:r>
          </w:p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(гр.2</w:t>
            </w:r>
            <w:r>
              <w:rPr>
                <w:rFonts w:ascii="Calibri" w:hAnsi="Calibri" w:cs="Calibri" w:eastAsia="Calibri"/>
                <w:b w:val="0"/>
                <w:i w:val="0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гр.3)</w:t>
            </w:r>
          </w:p>
        </w:tc>
      </w:tr>
      <w:tr>
        <w:tc>
          <w:tcPr>
            <w:tcW w:w="164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</w:tr>
      <w:tr>
        <w:tc>
          <w:tcPr>
            <w:tcW w:w="164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120941000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2 284 460,56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7 025 630,25</w:t>
            </w:r>
          </w:p>
        </w:tc>
        <w:tc>
          <w:tcPr>
            <w:tcW w:w="172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+4 741 169,69</w:t>
            </w:r>
          </w:p>
        </w:tc>
        <w:tc>
          <w:tcPr>
            <w:tcW w:w="18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Нарушение контрагентами условий контрактов (договоров)</w:t>
            </w:r>
          </w:p>
        </w:tc>
        <w:tc>
          <w:tcPr>
            <w:tcW w:w="194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Ведется претензионно-исковая работа. ООО «Компьютерный сервис» исключен из ЕГРЮЛ 18.12.2025, неустойка будет списана в 1 квартале 2026 г.</w:t>
            </w:r>
          </w:p>
        </w:tc>
      </w:tr>
      <w:tr>
        <w:tc>
          <w:tcPr>
            <w:tcW w:w="164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2 284 460,56</w:t>
            </w:r>
          </w:p>
        </w:tc>
        <w:tc>
          <w:tcPr>
            <w:tcW w:w="16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7 025 630,25</w:t>
            </w:r>
          </w:p>
        </w:tc>
        <w:tc>
          <w:tcPr>
            <w:tcW w:w="1725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+4 741 169,69</w:t>
            </w:r>
          </w:p>
        </w:tc>
        <w:tc>
          <w:tcPr>
            <w:tcW w:w="186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4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Х</w:t>
            </w:r>
          </w:p>
        </w:tc>
      </w:tr>
    </w:tbl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Кредиторская задолженность на 01.01.2026 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16"/>
          <w:szCs w:val="16"/>
        </w:rPr>
        <w:t>(по данным ф. 0503169 БК раздел Итоги, графа 9)</w:t>
      </w:r>
    </w:p>
    <w:tbl>
      <w:tblPr>
        <w:tblW w:w="10230" w:type="dxa"/>
        <w:tblInd w:w="9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716"/>
        </w:trPr>
        <w:tc>
          <w:tcPr>
            <w:tcW w:w="166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0"/>
                <w:szCs w:val="20"/>
              </w:rPr>
              <w:t>Номер счета</w:t>
            </w:r>
          </w:p>
        </w:tc>
        <w:tc>
          <w:tcPr>
            <w:tcW w:w="2891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0"/>
                <w:szCs w:val="20"/>
              </w:rPr>
              <w:t>9-Сумма задолженности, руб. - на конец отчетного периода - всего</w:t>
            </w:r>
          </w:p>
        </w:tc>
        <w:tc>
          <w:tcPr>
            <w:tcW w:w="5670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0"/>
                <w:szCs w:val="20"/>
              </w:rPr>
              <w:t>Пояснения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130200000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8 515 943,72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130221000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447 041,66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задолженность за услуги связи за декабрь 2025 года (оплата будет произведена в январе 2026 года)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130224000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4 740 314,16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задолженность по аренде офиса и технологических помещений для размещения серверного и технологического оборудования за декабрь 2025 года (оплата будет произведена в январе 2026 года) 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130225000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2 880,00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задолженность за  предрейсовые технические осмотры ТС за декабрь 2025 года (оплата будет произведена в январе 2026 года)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130226000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3 283 128,00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задолженность за проведение предрейсовых медицинских осмотров, использование электронных средств регистрации проезда, выполнение работ по разработке интерактивных портальных форм государственных услуг в Федеральной государственной информационной системе «Единый портал государственных и муниципальных услуг (функций) с помощью Визуального конструктора услуг с последующим подключением к виду сведений СМЭВ «Универсальный вид сведений для приема событий электронного заявления на портале государственных услуг (функций)» за декабрь 2025 года (оплата будет произведена в январе 2026 года)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130234000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42 579,90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 xml:space="preserve">задолженность 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за поставку автомобильного топлива 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за декабрь 2025 года (оплата будет произведена в январе 2026 года) 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140160000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281 313 212,97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Сформированы резервы предстоящих расходов на резерв предстоящих отпусков,  на оплату по государственным контрактам на основании документов о приемке, выставленных посредством Единой информационной системы в сфере закупок, товары, работ, услуги по которым не приняты по состоянию на отчетную дату и на расходы по арендной плате за офисные помещения, серверные стойки в технологическом помещении и оптические коммутаторы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>
        <w:trPr>
          <w:trHeight w:hRule="atLeast" w:val="300"/>
        </w:trPr>
        <w:tc>
          <w:tcPr>
            <w:tcW w:w="1660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8 515 943,72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0"/>
          <w:szCs w:val="20"/>
        </w:rPr>
        <w:t> 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Информация о показателях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 0503130) при наличии остатков средств: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tbl>
      <w:tblPr>
        <w:tblW w:w="9960" w:type="dxa"/>
        <w:tblInd w:w="36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4001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204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390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center"/>
            </w:pPr>
            <w:r>
              <w:rPr>
                <w:rFonts w:ascii="Times New Roman" w:hAnsi="Times New Roman" w:cs="Times New Roman" w:eastAsia="Times New Roman"/>
                <w:b w:val="1"/>
                <w:i w:val="0"/>
                <w:color w:val="000000"/>
                <w:sz w:val="24"/>
                <w:szCs w:val="24"/>
              </w:rPr>
              <w:t>Пояснения</w:t>
            </w:r>
          </w:p>
        </w:tc>
      </w:tr>
      <w:tr>
        <w:tc>
          <w:tcPr>
            <w:tcW w:w="4001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Счет 26 «Имущество, переданное в безвозмездное пользование»</w:t>
            </w:r>
          </w:p>
        </w:tc>
        <w:tc>
          <w:tcPr>
            <w:tcW w:w="204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right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8 958 840,92</w:t>
            </w:r>
          </w:p>
        </w:tc>
        <w:tc>
          <w:tcPr>
            <w:tcW w:w="390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Балансовая стоимость основных средств на забалансовом счете 26 «Имущество, переданное в безвозмездное пользование» на начало отчетного года по учреждению составляла 2 950 524,17 руб.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Увеличение за отчетный год составило 6 008 316,75 руб. в связи с заключением договора безвозмездного пользования оборудованием согласно Распоряжению Ленинградского областного Комитета по управлению государственным имуществом от 07.03.5025 № 286.</w:t>
            </w:r>
          </w:p>
          <w:p>
            <w:pPr>
              <w:spacing w:before="0" w:after="0" w:beforeAutospacing="0" w:afterAutospacing="0"/>
              <w:ind w:firstLine="0" w:left="0" w:right="0"/>
              <w:jc w:val="both"/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olor w:val="000000"/>
                <w:sz w:val="24"/>
                <w:szCs w:val="24"/>
              </w:rPr>
              <w:t>Балансовая стоимость имущества, переданного в безвозмездное пользование, на конец отчетного периода составила 8 958 840,92 руб.</w:t>
            </w:r>
          </w:p>
        </w:tc>
      </w:tr>
    </w:tbl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Стоимость чистых активов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Комитета по состоянию на 01.01.2026 имеет положительное значение (превышение активов над обязательствами) в сумме 7 049 472 943,53 руб. Показатель чистых активов равен финансовому результату.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ПОЯСНЕНИЯ К ПРОТОКОЛАМ ПРОВЕРКИ ВНУТРИДОКУМЕНТНЫХ </w:t>
        <w:br w:type="textWrapping"/>
        <w:t>И МЕЖДОКУМЕНТНЫХ КОНТРОЛЬНЫХ СООТНОШЕНИЙ (далее – ВДК, МДК):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1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Отчет о бюджетных обязательствах (ф. 0503128)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МДК: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Показатели кредиторской задолженности ф. 0503169 (гр.9) по состоянию на отчетную дату должны соответствовать показателям, отраженным в ф. 0503128 </w:t>
        <w:br w:type="textWrapping"/>
        <w:t>в качестве неисполненных денежных обязательств (гр. 12 ф. 0503128). Отклонения являются допустимыми и поясняются: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КВР 200 –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неисполненные денежные обязательства (текущая кредиторская задолженность) на 01.01.2026 отражены в ф.0503128G в графе 9 (Денежные обязательства финансовых годов) раздела 3 (Обязательства финансовых годов).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Сведения о движении нефинансовых активов (ф. 0503168)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МДК: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Показатели ф.0503168 на начало года не соответствуют идентичным показателям прошлого года. Отклонения являются допустимыми и поясняются: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ф. Сведения об изменении остатков валюты баланса ф. 0503173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Bad Script" w:hAnsi="Bad Script" w:cs="Bad Script" w:eastAsia="Bad Script"/>
          <w:b w:val="0"/>
          <w:i w:val="0"/>
          <w:color w:val="000000"/>
          <w:sz w:val="28"/>
          <w:szCs w:val="28"/>
        </w:rPr>
        <w:t>þ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пояснения по коду причины 03.5 (иные причины) Сведений ф. 0503173: в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осстановлена в учете часть стоимости затрат по счету 102.3I на начало года в сумме 13 250 000,00 руб.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Сведения по дебиторской и кредиторской задолженности (ф. 0503169)</w:t>
      </w:r>
    </w:p>
    <w:p>
      <w:pPr>
        <w:spacing w:before="0" w:after="0" w:beforeAutospacing="0" w:afterAutospacing="0"/>
        <w:ind w:firstLine="720" w:left="360" w:right="0"/>
        <w:jc w:val="both"/>
        <w:outlineLvl w:val="9"/>
      </w:pPr>
      <w:r>
        <w:rPr>
          <w:rFonts w:ascii="Arial" w:hAnsi="Arial" w:cs="Arial" w:eastAsia="Arial"/>
          <w:b w:val="0"/>
          <w:i w:val="0"/>
          <w:color w:val="000000"/>
          <w:sz w:val="20"/>
          <w:szCs w:val="20"/>
        </w:rPr>
        <w:t> 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Кредиторская задолженность </w:t>
      </w:r>
    </w:p>
    <w:p>
      <w:pPr>
        <w:spacing w:before="0" w:after="0" w:beforeAutospacing="0" w:afterAutospacing="0"/>
        <w:ind w:firstLine="720" w:left="36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МДК: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 Показатели кредиторской задолженности ф. 0503169 (гр.9) по состоянию на отчетную дату должны соответствовать показателям, отраженным в ф. 0503128 </w:t>
        <w:br w:type="textWrapping"/>
        <w:t xml:space="preserve">в качестве неисполненных денежных обязательств (гр. 12 ф. 0503128). 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КВР 200 –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неисполненные денежные обязательства (текущая кредиторская задолженность) на 01.01.2026 отражены в ф.0503128G в графе 9 (Денежные обязательства финансовых годов) раздела 3 (Обязательства финансовых годов).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6"/>
          <w:szCs w:val="26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Положение об учетной политике Комитета утверждено распоряжением Комитета от 28.12.2024 №75.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Сроки представления отчетности подведомственными получателями (распорядителями) бюджетных средств утверждены приказом Комитета </w:t>
      </w:r>
      <w:r>
        <w:rPr>
          <w:rFonts w:ascii="Times New Roman" w:hAnsi="Times New Roman" w:cs="Times New Roman" w:eastAsia="Times New Roman"/>
          <w:b w:val="0"/>
          <w:i w:val="1"/>
          <w:color w:val="000000"/>
          <w:sz w:val="28"/>
          <w:szCs w:val="28"/>
          <w:u w:val="single"/>
        </w:rPr>
        <w:t>от 30.10.2018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№96. 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Решение о проведении инвентаризации Комитетом от 24.12.2025 № 79 </w:t>
        <w:br w:type="textWrapping"/>
        <w:t xml:space="preserve">по состоянию на дд.мм.гггг. Расхождений остатков сумм, числящихся </w:t>
        <w:br w:type="textWrapping"/>
        <w:t>на соответствующих счетах бюджетного учета, с фактическим наличием активов, обязательств, иных объектов учета по результатам инвентаризации не выявлено.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соответствии с требованиями Постановления Правительства Ленинградской области от 07.09.2020 № 612 (ред. от 23.09.2024) «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 развитии информационной системы «Управление бюджетным процессом Ленинградской области» в рамках реализации проекта по технологической централизации бюджетного (бухгалтерского) учета с использованием облачных технологий Комитет осуществляет ведение бюджетного учета в подсистеме бюджетного учета учреждений информационной системы «Управление бюджетным процессом Ленинградской области».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Представленные показатели консолидированной бюджетной отчетности </w:t>
        <w:br w:type="textWrapping"/>
        <w:t>по состоянию на 01.01.2026 сформированы Комитетом исходя из нормативных правовых актов, регулирующих ведение бюджетного учета и составление бюджетной отчетности.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Дополнительная информация, характеризующая показатели форм консолидированной бюджетной отчетности, не нашедшая отражения в других разделах Текстовой части Пояснительной записки (ф. 0503160):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center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Справка по консолидируемым расчетам (ф.0503125)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Показатели Справок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(ф.0503125)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выверены с идентичными показателями других участников консолидируемых расчетов. Отклонений нет.</w:t>
      </w:r>
    </w:p>
    <w:p>
      <w:pPr>
        <w:spacing w:before="0" w:after="0" w:beforeAutospacing="0" w:afterAutospacing="0"/>
        <w:ind w:firstLine="0" w:left="0" w:right="0"/>
        <w:jc w:val="left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0" w:left="0" w:right="0"/>
        <w:outlineLvl w:val="9"/>
      </w:pPr>
    </w:p>
    <w:tbl>
      <w:tblPr>
        <w:tblW w:w="12510" w:type="dxa"/>
        <w:tblInd w:w="-74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09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</w:pPr>
          </w:p>
        </w:tc>
      </w:tr>
      <w:t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Руководитель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drawing>
                <wp:inline xmlns:wp="http://schemas.openxmlformats.org/drawingml/2006/wordprocessingDrawing"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dpi="0">
                          <a:blip xmlns:r="http://schemas.openxmlformats.org/officeDocument/2006/relationships" r:embed="Relimage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u w:val="single"/>
              </w:rPr>
              <w:t>Сытник Андрей Сергеевич</w:t>
            </w:r>
          </w:p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132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Руководитель финансово- экономической службы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drawing>
                <wp:inline xmlns:wp="http://schemas.openxmlformats.org/drawingml/2006/wordprocessingDrawing"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dpi="0">
                          <a:blip xmlns:r="http://schemas.openxmlformats.org/officeDocument/2006/relationships" r:embed="Relimage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  <w:u w:val="single"/>
              </w:rPr>
              <w:t>Славинская Екатерина Георгиевна</w:t>
            </w:r>
          </w:p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1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drawing>
                <wp:inline xmlns:wp="http://schemas.openxmlformats.org/drawingml/2006/wordprocessingDrawing"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dpi="0">
                          <a:blip xmlns:r="http://schemas.openxmlformats.org/officeDocument/2006/relationships" r:embed="Relimage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u w:val="single"/>
              </w:rPr>
              <w:t>Славинская Екатерина Георгиевна</w:t>
            </w:r>
          </w:p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</w:tbl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 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 </w:t>
      </w:r>
    </w:p>
    <w:p>
      <w:r>
        <w:rPr>
          <w:rFonts w:ascii="Times New Roman" w:hAnsi="Times New Roman" w:cs="Times New Roman" w:eastAsia="Times New Roman"/>
          <w:sz w:val="24"/>
          <w:szCs w:val="24"/>
        </w:rPr>
        <w:t xml:space="preserve">Документ подписан электронной подписью. </w:t>
        <w:br w:type="textWrapping"/>
        <w:t xml:space="preserve">Главный бухгалтер(Славинская Екатерина Георгиевна, Сертификат: 00DBCE8FFD0F66813086D402C4FD663DC4, Действителен: с 05.08.2025 по 29.10.2026),Руководитель финансово-экономической службы(Славинская Екатерина Георгиевна, Сертификат: 00DBCE8FFD0F66813086D402C4FD663DC4, Действителен: с 05.08.2025 по 29.10.2026),Руководитель(Сытник Андрей Сергеевич, Сертификат: 581200CDB22321151DAD237A20C09145, Действителен: с 16.05.2025 по 09.08.2026)        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EB79152"/>
    <w:multiLevelType w:val="hybridMultilevel"/>
    <w:lvl w:ilvl="0" w:tplc="7A6A491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3D802C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A3AA17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68CD80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E134A2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F7BA5E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B78585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53A61E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159773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2" Type="http://schemas.openxmlformats.org/officeDocument/2006/relationships/hyperlink" Target="https://ksi.lenobl.ru/" TargetMode="External" /><Relationship Id="R3" Type="http://schemas.openxmlformats.org/officeDocument/2006/relationships/hyperlink" Target="https://login.consultant.ru/link/?req=doc&amp;base=LAW&amp;n=422007" TargetMode="External" /><Relationship Id="R4" Type="http://schemas.openxmlformats.org/officeDocument/2006/relationships/hyperlink" Target="https://login.consultant.ru/link/?req=doc&amp;base=SPB&amp;n=225829" TargetMode="External" /><Relationship Id="R5" Type="http://schemas.openxmlformats.org/officeDocument/2006/relationships/hyperlink" Target="https://login.consultant.ru/link/?req=doc&amp;base=SPB&amp;n=307917&amp;dst=100010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Алешина Ирина Алексеевна</dc:creator>
  <dcterms:created xsi:type="dcterms:W3CDTF">2026-07-01T05:57:51Z</dcterms:created>
  <cp:lastModifiedBy>Алешина Ирина Алексеевна</cp:lastModifiedBy>
  <dcterms:modified xsi:type="dcterms:W3CDTF">2026-07-01T05:57:51Z</dcterms:modified>
  <cp:revision>2</cp:revision>
</cp:coreProperties>
</file>